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9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390"/>
        <w:gridCol w:w="5032"/>
        <w:gridCol w:w="136"/>
      </w:tblGrid>
      <w:tr w:rsidR="007C5A7C" w:rsidRPr="00D90EB8" w:rsidTr="001E31CE">
        <w:trPr>
          <w:gridBefore w:val="1"/>
          <w:wBefore w:w="38" w:type="dxa"/>
        </w:trPr>
        <w:tc>
          <w:tcPr>
            <w:tcW w:w="4390" w:type="dxa"/>
          </w:tcPr>
          <w:p w:rsidR="007C5A7C" w:rsidRPr="00D90EB8" w:rsidRDefault="007C5A7C" w:rsidP="001E31CE">
            <w:pPr>
              <w:rPr>
                <w:rFonts w:cs="Arial"/>
              </w:rPr>
            </w:pPr>
            <w:r w:rsidRPr="00D90EB8">
              <w:rPr>
                <w:rFonts w:cs="Arial"/>
              </w:rPr>
              <w:t xml:space="preserve">C A N A D A </w:t>
            </w:r>
          </w:p>
        </w:tc>
        <w:tc>
          <w:tcPr>
            <w:tcW w:w="5168" w:type="dxa"/>
            <w:gridSpan w:val="2"/>
          </w:tcPr>
          <w:p w:rsidR="007C5A7C" w:rsidRPr="00D90EB8" w:rsidRDefault="007C5A7C" w:rsidP="001E31CE">
            <w:pPr>
              <w:rPr>
                <w:rFonts w:cs="Arial"/>
              </w:rPr>
            </w:pPr>
          </w:p>
        </w:tc>
      </w:tr>
      <w:tr w:rsidR="007C5A7C" w:rsidRPr="00D90EB8" w:rsidTr="001E31CE">
        <w:trPr>
          <w:gridBefore w:val="1"/>
          <w:wBefore w:w="38" w:type="dxa"/>
        </w:trPr>
        <w:tc>
          <w:tcPr>
            <w:tcW w:w="4390" w:type="dxa"/>
          </w:tcPr>
          <w:p w:rsidR="007C5A7C" w:rsidRPr="00D90EB8" w:rsidRDefault="007C5A7C" w:rsidP="001E31CE">
            <w:pPr>
              <w:rPr>
                <w:rFonts w:cs="Arial"/>
              </w:rPr>
            </w:pPr>
            <w:r w:rsidRPr="00D90EB8">
              <w:rPr>
                <w:rFonts w:cs="Arial"/>
              </w:rPr>
              <w:t>PROVINCE DE QUÉBEC</w:t>
            </w:r>
          </w:p>
        </w:tc>
        <w:tc>
          <w:tcPr>
            <w:tcW w:w="5168" w:type="dxa"/>
            <w:gridSpan w:val="2"/>
          </w:tcPr>
          <w:p w:rsidR="007C5A7C" w:rsidRPr="00D90EB8" w:rsidRDefault="007C5A7C" w:rsidP="001E31CE">
            <w:pPr>
              <w:rPr>
                <w:rFonts w:cs="Arial"/>
              </w:rPr>
            </w:pPr>
          </w:p>
        </w:tc>
      </w:tr>
      <w:tr w:rsidR="007C5A7C" w:rsidRPr="00D90EB8" w:rsidTr="001E31CE">
        <w:trPr>
          <w:gridBefore w:val="1"/>
          <w:wBefore w:w="38" w:type="dxa"/>
        </w:trPr>
        <w:tc>
          <w:tcPr>
            <w:tcW w:w="4390" w:type="dxa"/>
          </w:tcPr>
          <w:p w:rsidR="007C5A7C" w:rsidRPr="00D90EB8" w:rsidRDefault="007C5A7C" w:rsidP="001E31CE">
            <w:pPr>
              <w:rPr>
                <w:rFonts w:cs="Arial"/>
              </w:rPr>
            </w:pPr>
            <w:r w:rsidRPr="00D90EB8">
              <w:rPr>
                <w:rFonts w:cs="Arial"/>
              </w:rPr>
              <w:t>DISTRICT DE MONTRÉAL</w:t>
            </w:r>
            <w:r w:rsidR="007200E9" w:rsidRPr="00D90EB8">
              <w:rPr>
                <w:rFonts w:cs="Arial"/>
              </w:rPr>
              <w:fldChar w:fldCharType="begin"/>
            </w:r>
            <w:r w:rsidRPr="00D90EB8">
              <w:rPr>
                <w:rFonts w:cs="Arial"/>
              </w:rPr>
              <w:instrText xml:space="preserve">  </w:instrText>
            </w:r>
            <w:r w:rsidR="007200E9" w:rsidRPr="00D90EB8">
              <w:rPr>
                <w:rFonts w:cs="Arial"/>
              </w:rPr>
              <w:fldChar w:fldCharType="end"/>
            </w:r>
          </w:p>
        </w:tc>
        <w:tc>
          <w:tcPr>
            <w:tcW w:w="5168" w:type="dxa"/>
            <w:gridSpan w:val="2"/>
            <w:tcBorders>
              <w:bottom w:val="single" w:sz="6" w:space="0" w:color="auto"/>
            </w:tcBorders>
          </w:tcPr>
          <w:p w:rsidR="007C5A7C" w:rsidRPr="00D90EB8" w:rsidRDefault="007C5A7C" w:rsidP="001E31CE">
            <w:pPr>
              <w:jc w:val="center"/>
              <w:rPr>
                <w:rFonts w:cs="Arial"/>
              </w:rPr>
            </w:pPr>
            <w:r w:rsidRPr="00D90EB8">
              <w:rPr>
                <w:rFonts w:cs="Arial"/>
              </w:rPr>
              <w:t>COUR SUPÉRIEURE</w:t>
            </w:r>
          </w:p>
          <w:p w:rsidR="007C5A7C" w:rsidRPr="00D90EB8" w:rsidRDefault="007C5A7C" w:rsidP="001E31CE">
            <w:pPr>
              <w:jc w:val="center"/>
              <w:rPr>
                <w:rFonts w:cs="Arial"/>
              </w:rPr>
            </w:pPr>
            <w:r w:rsidRPr="00D90EB8">
              <w:rPr>
                <w:rFonts w:cs="Arial"/>
              </w:rPr>
              <w:t>(Recours collectifs)</w:t>
            </w:r>
            <w:r w:rsidR="007200E9" w:rsidRPr="00D90EB8">
              <w:rPr>
                <w:rFonts w:cs="Arial"/>
              </w:rPr>
              <w:fldChar w:fldCharType="begin"/>
            </w:r>
            <w:r w:rsidRPr="00D90EB8">
              <w:rPr>
                <w:rFonts w:cs="Arial"/>
              </w:rPr>
              <w:instrText xml:space="preserve">  </w:instrText>
            </w:r>
            <w:r w:rsidR="007200E9" w:rsidRPr="00D90EB8">
              <w:rPr>
                <w:rFonts w:cs="Arial"/>
              </w:rPr>
              <w:fldChar w:fldCharType="end"/>
            </w:r>
          </w:p>
        </w:tc>
      </w:tr>
      <w:tr w:rsidR="007C5A7C" w:rsidRPr="00D90EB8" w:rsidTr="001E31CE">
        <w:trPr>
          <w:gridBefore w:val="1"/>
          <w:wBefore w:w="38" w:type="dxa"/>
        </w:trPr>
        <w:tc>
          <w:tcPr>
            <w:tcW w:w="4390" w:type="dxa"/>
          </w:tcPr>
          <w:p w:rsidR="007C5A7C" w:rsidRPr="00D90EB8" w:rsidRDefault="007C5A7C" w:rsidP="001E31CE">
            <w:pPr>
              <w:rPr>
                <w:rFonts w:cs="Arial"/>
              </w:rPr>
            </w:pPr>
          </w:p>
        </w:tc>
        <w:tc>
          <w:tcPr>
            <w:tcW w:w="5168" w:type="dxa"/>
            <w:gridSpan w:val="2"/>
          </w:tcPr>
          <w:p w:rsidR="007C5A7C" w:rsidRPr="00D90EB8" w:rsidRDefault="007C5A7C" w:rsidP="001E31CE">
            <w:pPr>
              <w:rPr>
                <w:rFonts w:cs="Arial"/>
              </w:rPr>
            </w:pPr>
          </w:p>
        </w:tc>
      </w:tr>
      <w:tr w:rsidR="007C5A7C" w:rsidRPr="00D90EB8" w:rsidTr="001E31CE">
        <w:trPr>
          <w:gridBefore w:val="1"/>
          <w:wBefore w:w="38" w:type="dxa"/>
        </w:trPr>
        <w:tc>
          <w:tcPr>
            <w:tcW w:w="4390" w:type="dxa"/>
          </w:tcPr>
          <w:p w:rsidR="007C5A7C" w:rsidRPr="00D90EB8" w:rsidRDefault="007C5A7C" w:rsidP="001E31CE">
            <w:pPr>
              <w:rPr>
                <w:rFonts w:cs="Arial"/>
              </w:rPr>
            </w:pPr>
            <w:r w:rsidRPr="00D90EB8">
              <w:rPr>
                <w:rFonts w:cs="Arial"/>
              </w:rPr>
              <w:t>N° 500-06-000082-996</w:t>
            </w:r>
            <w:r w:rsidR="007200E9" w:rsidRPr="00D90EB8">
              <w:rPr>
                <w:rFonts w:cs="Arial"/>
              </w:rPr>
              <w:fldChar w:fldCharType="begin"/>
            </w:r>
            <w:r w:rsidRPr="00D90EB8">
              <w:rPr>
                <w:rFonts w:cs="Arial"/>
              </w:rPr>
              <w:instrText xml:space="preserve">  </w:instrText>
            </w:r>
            <w:r w:rsidR="007200E9" w:rsidRPr="00D90EB8">
              <w:rPr>
                <w:rFonts w:cs="Arial"/>
              </w:rPr>
              <w:fldChar w:fldCharType="end"/>
            </w:r>
          </w:p>
        </w:tc>
        <w:tc>
          <w:tcPr>
            <w:tcW w:w="5168" w:type="dxa"/>
            <w:gridSpan w:val="2"/>
          </w:tcPr>
          <w:p w:rsidR="007C5A7C" w:rsidRPr="00D90EB8" w:rsidRDefault="007C5A7C" w:rsidP="001E31CE">
            <w:pPr>
              <w:rPr>
                <w:rFonts w:cs="Arial"/>
              </w:rPr>
            </w:pPr>
            <w:r w:rsidRPr="00D90EB8">
              <w:rPr>
                <w:rFonts w:cs="Arial"/>
              </w:rPr>
              <w:t>ASSOCIATION DES JOURNALISTES INDÉPENDANTS DU QUÉBEC (AJIQ-CSN)</w:t>
            </w:r>
            <w:r w:rsidR="007200E9" w:rsidRPr="00D90EB8">
              <w:rPr>
                <w:rFonts w:cs="Arial"/>
              </w:rPr>
              <w:fldChar w:fldCharType="begin"/>
            </w:r>
            <w:r w:rsidRPr="00D90EB8">
              <w:rPr>
                <w:rFonts w:cs="Arial"/>
              </w:rPr>
              <w:instrText xml:space="preserve">  </w:instrText>
            </w:r>
            <w:r w:rsidR="007200E9" w:rsidRPr="00D90EB8">
              <w:rPr>
                <w:rFonts w:cs="Arial"/>
              </w:rPr>
              <w:fldChar w:fldCharType="end"/>
            </w:r>
          </w:p>
        </w:tc>
      </w:tr>
      <w:tr w:rsidR="007C5A7C" w:rsidRPr="00D90EB8" w:rsidTr="001E31CE">
        <w:trPr>
          <w:gridBefore w:val="1"/>
          <w:wBefore w:w="38" w:type="dxa"/>
        </w:trPr>
        <w:tc>
          <w:tcPr>
            <w:tcW w:w="4390" w:type="dxa"/>
          </w:tcPr>
          <w:p w:rsidR="007C5A7C" w:rsidRPr="00D90EB8" w:rsidRDefault="007C5A7C" w:rsidP="001E31CE">
            <w:pPr>
              <w:rPr>
                <w:rFonts w:cs="Arial"/>
              </w:rPr>
            </w:pPr>
          </w:p>
        </w:tc>
        <w:tc>
          <w:tcPr>
            <w:tcW w:w="5168" w:type="dxa"/>
            <w:gridSpan w:val="2"/>
          </w:tcPr>
          <w:p w:rsidR="007C5A7C" w:rsidRPr="00D90EB8" w:rsidRDefault="007C5A7C" w:rsidP="001E31CE">
            <w:pPr>
              <w:rPr>
                <w:rFonts w:cs="Arial"/>
              </w:rPr>
            </w:pPr>
          </w:p>
        </w:tc>
      </w:tr>
      <w:tr w:rsidR="007C5A7C" w:rsidRPr="00D90EB8" w:rsidTr="001E31CE">
        <w:trPr>
          <w:gridBefore w:val="1"/>
          <w:wBefore w:w="38" w:type="dxa"/>
        </w:trPr>
        <w:tc>
          <w:tcPr>
            <w:tcW w:w="4390" w:type="dxa"/>
          </w:tcPr>
          <w:p w:rsidR="007C5A7C" w:rsidRPr="00D90EB8" w:rsidRDefault="007C5A7C" w:rsidP="001E31CE">
            <w:pPr>
              <w:rPr>
                <w:rFonts w:cs="Arial"/>
              </w:rPr>
            </w:pPr>
          </w:p>
        </w:tc>
        <w:tc>
          <w:tcPr>
            <w:tcW w:w="5168" w:type="dxa"/>
            <w:gridSpan w:val="2"/>
          </w:tcPr>
          <w:p w:rsidR="007C5A7C" w:rsidRPr="00D90EB8" w:rsidRDefault="007C5A7C" w:rsidP="001E31CE">
            <w:pPr>
              <w:jc w:val="right"/>
              <w:rPr>
                <w:rFonts w:cs="Arial"/>
              </w:rPr>
            </w:pPr>
            <w:r w:rsidRPr="00D90EB8">
              <w:rPr>
                <w:rFonts w:cs="Arial"/>
              </w:rPr>
              <w:t>Demanderesse</w:t>
            </w:r>
            <w:r w:rsidR="007200E9" w:rsidRPr="00D90EB8">
              <w:rPr>
                <w:rFonts w:cs="Arial"/>
              </w:rPr>
              <w:fldChar w:fldCharType="begin"/>
            </w:r>
            <w:r w:rsidRPr="00D90EB8">
              <w:rPr>
                <w:rFonts w:cs="Arial"/>
              </w:rPr>
              <w:instrText xml:space="preserve">  </w:instrText>
            </w:r>
            <w:r w:rsidR="007200E9" w:rsidRPr="00D90EB8">
              <w:rPr>
                <w:rFonts w:cs="Arial"/>
              </w:rPr>
              <w:fldChar w:fldCharType="end"/>
            </w:r>
          </w:p>
        </w:tc>
      </w:tr>
      <w:tr w:rsidR="007C5A7C" w:rsidRPr="00D90EB8" w:rsidTr="001E31CE">
        <w:trPr>
          <w:gridBefore w:val="1"/>
          <w:wBefore w:w="38" w:type="dxa"/>
        </w:trPr>
        <w:tc>
          <w:tcPr>
            <w:tcW w:w="4390" w:type="dxa"/>
          </w:tcPr>
          <w:p w:rsidR="007C5A7C" w:rsidRPr="00D90EB8" w:rsidRDefault="007C5A7C" w:rsidP="001E31CE">
            <w:pPr>
              <w:rPr>
                <w:rFonts w:cs="Arial"/>
              </w:rPr>
            </w:pPr>
          </w:p>
        </w:tc>
        <w:tc>
          <w:tcPr>
            <w:tcW w:w="5168" w:type="dxa"/>
            <w:gridSpan w:val="2"/>
          </w:tcPr>
          <w:p w:rsidR="007C5A7C" w:rsidRPr="00D90EB8" w:rsidRDefault="007C5A7C" w:rsidP="001E31CE">
            <w:pPr>
              <w:rPr>
                <w:rFonts w:cs="Arial"/>
              </w:rPr>
            </w:pPr>
          </w:p>
        </w:tc>
      </w:tr>
      <w:tr w:rsidR="007C5A7C" w:rsidRPr="00D90EB8" w:rsidTr="001E31CE">
        <w:trPr>
          <w:gridBefore w:val="1"/>
          <w:wBefore w:w="38" w:type="dxa"/>
        </w:trPr>
        <w:tc>
          <w:tcPr>
            <w:tcW w:w="4390" w:type="dxa"/>
          </w:tcPr>
          <w:p w:rsidR="007C5A7C" w:rsidRPr="00D90EB8" w:rsidRDefault="007C5A7C" w:rsidP="001E31CE">
            <w:pPr>
              <w:rPr>
                <w:rFonts w:cs="Arial"/>
              </w:rPr>
            </w:pPr>
          </w:p>
        </w:tc>
        <w:tc>
          <w:tcPr>
            <w:tcW w:w="5168" w:type="dxa"/>
            <w:gridSpan w:val="2"/>
          </w:tcPr>
          <w:p w:rsidR="007C5A7C" w:rsidRPr="00D90EB8" w:rsidRDefault="007C5A7C" w:rsidP="001E31CE">
            <w:pPr>
              <w:rPr>
                <w:rFonts w:cs="Arial"/>
              </w:rPr>
            </w:pPr>
            <w:r w:rsidRPr="00D90EB8">
              <w:rPr>
                <w:rFonts w:cs="Arial"/>
              </w:rPr>
              <w:t>c.</w:t>
            </w:r>
          </w:p>
        </w:tc>
      </w:tr>
      <w:tr w:rsidR="007C5A7C" w:rsidRPr="00D90EB8" w:rsidTr="007C5A7C">
        <w:trPr>
          <w:gridBefore w:val="1"/>
          <w:wBefore w:w="38" w:type="dxa"/>
        </w:trPr>
        <w:tc>
          <w:tcPr>
            <w:tcW w:w="4390" w:type="dxa"/>
          </w:tcPr>
          <w:p w:rsidR="007C5A7C" w:rsidRPr="00D90EB8" w:rsidRDefault="006A0179" w:rsidP="001E31CE">
            <w:pPr>
              <w:rPr>
                <w:rFonts w:cs="Arial"/>
              </w:rPr>
            </w:pPr>
            <w:r w:rsidRPr="00D90EB8">
              <w:rPr>
                <w:rFonts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-2855595</wp:posOffset>
                      </wp:positionH>
                      <wp:positionV relativeFrom="page">
                        <wp:posOffset>-3054350</wp:posOffset>
                      </wp:positionV>
                      <wp:extent cx="1371600" cy="78930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89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DFD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A7C" w:rsidRDefault="007C5A7C" w:rsidP="007C5A7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7C5A7C" w:rsidRDefault="007C5A7C" w:rsidP="007C5A7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7C5A7C" w:rsidRDefault="007C5A7C" w:rsidP="007C5A7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224.85pt;margin-top:-240.5pt;width:108pt;height:6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" fillcolor="#dfdfdf">
                      <v:textbox inset="1pt,1pt,1pt,1pt">
                        <w:txbxContent>
                          <w:p w:rsidR="007C5A7C" w:rsidRDefault="007C5A7C" w:rsidP="007C5A7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C5A7C" w:rsidRDefault="007C5A7C" w:rsidP="007C5A7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C5A7C" w:rsidRDefault="007C5A7C" w:rsidP="007C5A7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68" w:type="dxa"/>
            <w:gridSpan w:val="2"/>
          </w:tcPr>
          <w:p w:rsidR="007C5A7C" w:rsidRPr="00D90EB8" w:rsidRDefault="007C5A7C" w:rsidP="001E31CE">
            <w:pPr>
              <w:rPr>
                <w:rFonts w:cs="Arial"/>
              </w:rPr>
            </w:pPr>
          </w:p>
        </w:tc>
      </w:tr>
      <w:tr w:rsidR="007C5A7C" w:rsidRPr="00D90EB8" w:rsidTr="007C5A7C">
        <w:trPr>
          <w:gridBefore w:val="1"/>
          <w:wBefore w:w="38" w:type="dxa"/>
          <w:trHeight w:val="996"/>
        </w:trPr>
        <w:tc>
          <w:tcPr>
            <w:tcW w:w="4390" w:type="dxa"/>
          </w:tcPr>
          <w:p w:rsidR="007C5A7C" w:rsidRPr="00D90EB8" w:rsidRDefault="007C5A7C" w:rsidP="001E31CE">
            <w:pPr>
              <w:rPr>
                <w:rFonts w:cs="Arial"/>
              </w:rPr>
            </w:pPr>
          </w:p>
        </w:tc>
        <w:tc>
          <w:tcPr>
            <w:tcW w:w="5168" w:type="dxa"/>
            <w:gridSpan w:val="2"/>
            <w:tcBorders>
              <w:bottom w:val="single" w:sz="4" w:space="0" w:color="auto"/>
            </w:tcBorders>
          </w:tcPr>
          <w:p w:rsidR="007C5A7C" w:rsidRPr="00D90EB8" w:rsidRDefault="007C5A7C" w:rsidP="007C5A7C">
            <w:pPr>
              <w:rPr>
                <w:rFonts w:cs="Arial"/>
                <w:b/>
              </w:rPr>
            </w:pPr>
            <w:r w:rsidRPr="00D90EB8">
              <w:rPr>
                <w:rFonts w:cs="Arial"/>
              </w:rPr>
              <w:t>COMMUNICATIONS VOIR INC. (JOURNAL VOIR)</w:t>
            </w:r>
            <w:r w:rsidRPr="00D90EB8">
              <w:rPr>
                <w:rFonts w:cs="Arial"/>
                <w:b/>
              </w:rPr>
              <w:t xml:space="preserve"> </w:t>
            </w:r>
          </w:p>
          <w:p w:rsidR="007C5A7C" w:rsidRPr="00D90EB8" w:rsidRDefault="007C5A7C" w:rsidP="007C5A7C">
            <w:pPr>
              <w:rPr>
                <w:rFonts w:cs="Arial"/>
                <w:b/>
              </w:rPr>
            </w:pPr>
          </w:p>
          <w:p w:rsidR="007C5A7C" w:rsidRPr="00D90EB8" w:rsidRDefault="007C5A7C" w:rsidP="007C5A7C">
            <w:pPr>
              <w:jc w:val="right"/>
              <w:rPr>
                <w:rFonts w:cs="Arial"/>
              </w:rPr>
            </w:pPr>
            <w:r w:rsidRPr="00D90EB8">
              <w:rPr>
                <w:rFonts w:cs="Arial"/>
              </w:rPr>
              <w:t>Défenderesse</w:t>
            </w:r>
          </w:p>
        </w:tc>
      </w:tr>
      <w:tr w:rsidR="007C5A7C" w:rsidRPr="00D90EB8" w:rsidTr="001E3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6" w:type="dxa"/>
        </w:trPr>
        <w:tc>
          <w:tcPr>
            <w:tcW w:w="9460" w:type="dxa"/>
            <w:gridSpan w:val="3"/>
            <w:tcBorders>
              <w:bottom w:val="single" w:sz="4" w:space="0" w:color="auto"/>
            </w:tcBorders>
          </w:tcPr>
          <w:p w:rsidR="007C5A7C" w:rsidRPr="00D90EB8" w:rsidRDefault="007C5A7C" w:rsidP="001E31CE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  <w:p w:rsidR="007C5A7C" w:rsidRPr="00D90EB8" w:rsidRDefault="007C5A7C" w:rsidP="001E31CE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  <w:p w:rsidR="007C5A7C" w:rsidRPr="00D90EB8" w:rsidRDefault="007C5A7C" w:rsidP="001E31CE">
            <w:pPr>
              <w:pStyle w:val="TitreProcdure"/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D90EB8">
              <w:rPr>
                <w:rFonts w:cs="Arial"/>
              </w:rPr>
              <w:t>avis aux membres DU GROUPE</w:t>
            </w:r>
          </w:p>
          <w:p w:rsidR="007C5A7C" w:rsidRPr="00D90EB8" w:rsidRDefault="007C5A7C" w:rsidP="001E31CE">
            <w:pPr>
              <w:pStyle w:val="TitreProcdure"/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</w:tc>
      </w:tr>
    </w:tbl>
    <w:p w:rsidR="007C5A7C" w:rsidRPr="00D90EB8" w:rsidRDefault="007C5A7C" w:rsidP="007C5A7C">
      <w:pPr>
        <w:rPr>
          <w:rFonts w:cs="Arial"/>
        </w:rPr>
      </w:pPr>
    </w:p>
    <w:p w:rsidR="007C5A7C" w:rsidRPr="00D90EB8" w:rsidRDefault="007C5A7C" w:rsidP="007C5A7C">
      <w:pPr>
        <w:rPr>
          <w:rFonts w:cs="Arial"/>
        </w:rPr>
      </w:pPr>
    </w:p>
    <w:p w:rsidR="007C5A7C" w:rsidRPr="00D90EB8" w:rsidRDefault="007C5A7C" w:rsidP="007C5A7C">
      <w:pPr>
        <w:rPr>
          <w:rFonts w:cs="Arial"/>
          <w:b/>
          <w:caps/>
        </w:rPr>
      </w:pPr>
      <w:r w:rsidRPr="00D90EB8">
        <w:rPr>
          <w:rFonts w:cs="Arial"/>
          <w:b/>
          <w:caps/>
        </w:rPr>
        <w:t>Avis d’audition de la requête en approbation d’une entente intervenue entre l’Ajiq-csn et JOURNAL VOIR</w:t>
      </w:r>
      <w:r w:rsidRPr="00D90EB8">
        <w:rPr>
          <w:rFonts w:cs="Arial"/>
          <w:b/>
        </w:rPr>
        <w:t xml:space="preserve"> </w:t>
      </w:r>
      <w:r w:rsidRPr="00D90EB8">
        <w:rPr>
          <w:rFonts w:cs="Arial"/>
          <w:b/>
          <w:caps/>
        </w:rPr>
        <w:t>dans le cadre d</w:t>
      </w:r>
      <w:r w:rsidR="008D3547" w:rsidRPr="00D90EB8">
        <w:rPr>
          <w:rFonts w:cs="Arial"/>
          <w:b/>
          <w:caps/>
        </w:rPr>
        <w:t>’</w:t>
      </w:r>
      <w:r w:rsidRPr="00D90EB8">
        <w:rPr>
          <w:rFonts w:cs="Arial"/>
          <w:b/>
          <w:caps/>
        </w:rPr>
        <w:t>u</w:t>
      </w:r>
      <w:r w:rsidR="008D3547" w:rsidRPr="00D90EB8">
        <w:rPr>
          <w:rFonts w:cs="Arial"/>
          <w:b/>
          <w:caps/>
        </w:rPr>
        <w:t>NE</w:t>
      </w:r>
      <w:r w:rsidRPr="00D90EB8">
        <w:rPr>
          <w:rFonts w:cs="Arial"/>
          <w:b/>
          <w:caps/>
        </w:rPr>
        <w:t xml:space="preserve"> </w:t>
      </w:r>
      <w:r w:rsidR="008D3547" w:rsidRPr="00D90EB8">
        <w:rPr>
          <w:rFonts w:cs="Arial"/>
          <w:b/>
          <w:caps/>
        </w:rPr>
        <w:t xml:space="preserve">ACTION </w:t>
      </w:r>
      <w:r w:rsidRPr="00D90EB8">
        <w:rPr>
          <w:rFonts w:cs="Arial"/>
          <w:b/>
          <w:caps/>
        </w:rPr>
        <w:t>collecti</w:t>
      </w:r>
      <w:r w:rsidR="008D3547" w:rsidRPr="00D90EB8">
        <w:rPr>
          <w:rFonts w:cs="Arial"/>
          <w:b/>
          <w:caps/>
        </w:rPr>
        <w:t>VE CONCERNANT</w:t>
      </w:r>
      <w:r w:rsidR="001329A8" w:rsidRPr="00D90EB8">
        <w:rPr>
          <w:rFonts w:cs="Arial"/>
          <w:b/>
          <w:caps/>
        </w:rPr>
        <w:t xml:space="preserve"> (1)</w:t>
      </w:r>
      <w:r w:rsidR="00D90EB8">
        <w:rPr>
          <w:rFonts w:cs="Arial"/>
          <w:b/>
          <w:caps/>
        </w:rPr>
        <w:t> </w:t>
      </w:r>
      <w:r w:rsidR="001329A8" w:rsidRPr="00D90EB8">
        <w:rPr>
          <w:rFonts w:cs="Arial"/>
          <w:b/>
          <w:caps/>
        </w:rPr>
        <w:t>des journalistes p</w:t>
      </w:r>
      <w:r w:rsidR="006A0179" w:rsidRPr="00D90EB8">
        <w:rPr>
          <w:rFonts w:cs="Arial"/>
          <w:b/>
          <w:caps/>
        </w:rPr>
        <w:t>I</w:t>
      </w:r>
      <w:r w:rsidR="001329A8" w:rsidRPr="00D90EB8">
        <w:rPr>
          <w:rFonts w:cs="Arial"/>
          <w:b/>
          <w:caps/>
        </w:rPr>
        <w:t>gistes</w:t>
      </w:r>
      <w:r w:rsidR="006A0179" w:rsidRPr="00D90EB8">
        <w:rPr>
          <w:rFonts w:cs="Arial"/>
          <w:b/>
          <w:caps/>
        </w:rPr>
        <w:t xml:space="preserve">, QUI AVAIENT L’HABITUDE DE COLLABORER AVEC JOURNAL VOIR, </w:t>
      </w:r>
      <w:r w:rsidR="001329A8" w:rsidRPr="00D90EB8">
        <w:rPr>
          <w:rFonts w:cs="Arial"/>
          <w:b/>
          <w:caps/>
        </w:rPr>
        <w:t xml:space="preserve">et </w:t>
      </w:r>
      <w:r w:rsidR="008D3547" w:rsidRPr="00D90EB8">
        <w:rPr>
          <w:rFonts w:cs="Arial"/>
          <w:b/>
          <w:caps/>
        </w:rPr>
        <w:t xml:space="preserve">LA REPRODUCTION DE LEUR(S) ARTICLES publié(s) </w:t>
      </w:r>
      <w:r w:rsidR="001329A8" w:rsidRPr="00D90EB8">
        <w:rPr>
          <w:rFonts w:cs="Arial"/>
          <w:b/>
          <w:caps/>
        </w:rPr>
        <w:t>le ou avant le 21</w:t>
      </w:r>
      <w:r w:rsidR="00D90EB8">
        <w:rPr>
          <w:rFonts w:cs="Arial"/>
          <w:b/>
          <w:caps/>
        </w:rPr>
        <w:t> </w:t>
      </w:r>
      <w:r w:rsidR="001329A8" w:rsidRPr="00D90EB8">
        <w:rPr>
          <w:rFonts w:cs="Arial"/>
          <w:b/>
          <w:caps/>
        </w:rPr>
        <w:t>juin 1999</w:t>
      </w:r>
      <w:r w:rsidR="008D3547" w:rsidRPr="00D90EB8">
        <w:rPr>
          <w:rFonts w:cs="Arial"/>
          <w:b/>
          <w:caps/>
        </w:rPr>
        <w:t xml:space="preserve"> </w:t>
      </w:r>
      <w:r w:rsidR="006A0179" w:rsidRPr="00D90EB8">
        <w:rPr>
          <w:rFonts w:cs="Arial"/>
          <w:b/>
          <w:caps/>
        </w:rPr>
        <w:t xml:space="preserve">INITIALEMENT PAR </w:t>
      </w:r>
      <w:r w:rsidR="008D3547" w:rsidRPr="00D90EB8">
        <w:rPr>
          <w:rFonts w:cs="Arial"/>
          <w:b/>
          <w:caps/>
        </w:rPr>
        <w:t xml:space="preserve">Journal Voir </w:t>
      </w:r>
      <w:r w:rsidR="001329A8" w:rsidRPr="00D90EB8">
        <w:rPr>
          <w:rFonts w:cs="Arial"/>
          <w:b/>
          <w:caps/>
        </w:rPr>
        <w:t>et</w:t>
      </w:r>
      <w:r w:rsidR="006A0179" w:rsidRPr="00D90EB8">
        <w:rPr>
          <w:rFonts w:cs="Arial"/>
          <w:b/>
          <w:caps/>
        </w:rPr>
        <w:t xml:space="preserve"> PAR LA SUITE</w:t>
      </w:r>
      <w:r w:rsidR="001329A8" w:rsidRPr="00D90EB8">
        <w:rPr>
          <w:rFonts w:cs="Arial"/>
          <w:b/>
          <w:caps/>
        </w:rPr>
        <w:t xml:space="preserve"> </w:t>
      </w:r>
      <w:r w:rsidR="008D3547" w:rsidRPr="00D90EB8">
        <w:rPr>
          <w:rFonts w:cs="Arial"/>
          <w:b/>
          <w:caps/>
        </w:rPr>
        <w:t>PAR cedrom-sni</w:t>
      </w:r>
      <w:r w:rsidR="006A0179" w:rsidRPr="00D90EB8">
        <w:rPr>
          <w:rFonts w:cs="Arial"/>
          <w:b/>
          <w:caps/>
        </w:rPr>
        <w:t xml:space="preserve"> (2)</w:t>
      </w:r>
      <w:r w:rsidR="00D90EB8">
        <w:rPr>
          <w:rFonts w:cs="Arial"/>
          <w:b/>
          <w:caps/>
        </w:rPr>
        <w:t> </w:t>
      </w:r>
      <w:r w:rsidR="001329A8" w:rsidRPr="00D90EB8">
        <w:rPr>
          <w:rFonts w:cs="Arial"/>
          <w:b/>
          <w:caps/>
        </w:rPr>
        <w:t xml:space="preserve">et </w:t>
      </w:r>
      <w:r w:rsidR="008D3547" w:rsidRPr="00D90EB8">
        <w:rPr>
          <w:rFonts w:cs="Arial"/>
          <w:b/>
          <w:caps/>
        </w:rPr>
        <w:t xml:space="preserve">QUI AVAIENT REFUSÉ DE SIGNER UNE ENTENTE PROPOSÉE PAR jOURNAL vOIR </w:t>
      </w:r>
      <w:r w:rsidR="001329A8" w:rsidRPr="00D90EB8">
        <w:rPr>
          <w:rFonts w:cs="Arial"/>
          <w:b/>
          <w:caps/>
        </w:rPr>
        <w:t>selon laquelle il aurait renoncé à leur droit d’action contre journal voir</w:t>
      </w:r>
      <w:r w:rsidR="006A0179" w:rsidRPr="00D90EB8">
        <w:rPr>
          <w:rFonts w:cs="Arial"/>
          <w:b/>
          <w:caps/>
        </w:rPr>
        <w:t xml:space="preserve"> EN RAISON DE LA REPRODUCTION ET LA COMMUNICATION PUBLIQUE </w:t>
      </w:r>
      <w:r w:rsidR="001732E7" w:rsidRPr="00D90EB8">
        <w:rPr>
          <w:rFonts w:cs="Arial"/>
          <w:b/>
          <w:caps/>
        </w:rPr>
        <w:t xml:space="preserve">non autorisées </w:t>
      </w:r>
      <w:r w:rsidR="006A0179" w:rsidRPr="00D90EB8">
        <w:rPr>
          <w:rFonts w:cs="Arial"/>
          <w:b/>
          <w:caps/>
        </w:rPr>
        <w:t xml:space="preserve">DE LEUR(S) </w:t>
      </w:r>
      <w:r w:rsidR="001C3954" w:rsidRPr="00D90EB8">
        <w:rPr>
          <w:rFonts w:cs="Arial"/>
          <w:b/>
          <w:caps/>
        </w:rPr>
        <w:t>articles</w:t>
      </w:r>
      <w:r w:rsidR="006A0179" w:rsidRPr="00D90EB8">
        <w:rPr>
          <w:rFonts w:cs="Arial"/>
          <w:b/>
          <w:caps/>
        </w:rPr>
        <w:t xml:space="preserve"> PAR CEDROM-SNI, (3)</w:t>
      </w:r>
      <w:r w:rsidR="00D90EB8">
        <w:rPr>
          <w:rFonts w:cs="Arial"/>
          <w:b/>
          <w:caps/>
        </w:rPr>
        <w:t> </w:t>
      </w:r>
      <w:r w:rsidR="001329A8" w:rsidRPr="00D90EB8">
        <w:rPr>
          <w:rFonts w:cs="Arial"/>
          <w:b/>
          <w:caps/>
        </w:rPr>
        <w:t>et qui</w:t>
      </w:r>
      <w:r w:rsidR="006A0179" w:rsidRPr="00D90EB8">
        <w:rPr>
          <w:rFonts w:cs="Arial"/>
          <w:b/>
          <w:caps/>
        </w:rPr>
        <w:t xml:space="preserve"> </w:t>
      </w:r>
      <w:r w:rsidR="001329A8" w:rsidRPr="00D90EB8">
        <w:rPr>
          <w:rFonts w:cs="Arial"/>
          <w:b/>
          <w:caps/>
        </w:rPr>
        <w:t xml:space="preserve">n’ont plus été </w:t>
      </w:r>
      <w:r w:rsidR="001C3954" w:rsidRPr="00D90EB8">
        <w:rPr>
          <w:rFonts w:cs="Arial"/>
          <w:b/>
          <w:caps/>
        </w:rPr>
        <w:t xml:space="preserve">invités avant la présente entente </w:t>
      </w:r>
      <w:r w:rsidR="001329A8" w:rsidRPr="00D90EB8">
        <w:rPr>
          <w:rFonts w:cs="Arial"/>
          <w:b/>
          <w:caps/>
        </w:rPr>
        <w:t>à collaborer avec Journal Voir.</w:t>
      </w:r>
    </w:p>
    <w:p w:rsidR="007C5A7C" w:rsidRPr="00D90EB8" w:rsidRDefault="007C5A7C" w:rsidP="007C5A7C">
      <w:pPr>
        <w:rPr>
          <w:rFonts w:cs="Arial"/>
          <w:caps/>
        </w:rPr>
      </w:pPr>
    </w:p>
    <w:p w:rsidR="007C5A7C" w:rsidRPr="00D90EB8" w:rsidRDefault="007C5A7C" w:rsidP="007C5A7C">
      <w:pPr>
        <w:rPr>
          <w:rFonts w:cs="Arial"/>
          <w:caps/>
        </w:rPr>
      </w:pPr>
    </w:p>
    <w:p w:rsidR="007C5A7C" w:rsidRPr="00D90EB8" w:rsidRDefault="007C5A7C" w:rsidP="007C5A7C">
      <w:pPr>
        <w:rPr>
          <w:rFonts w:cs="Arial"/>
          <w:caps/>
          <w:u w:val="single"/>
        </w:rPr>
      </w:pPr>
      <w:r w:rsidRPr="00D90EB8">
        <w:rPr>
          <w:rFonts w:cs="Arial"/>
          <w:caps/>
          <w:u w:val="single"/>
        </w:rPr>
        <w:t>VEUILLEZ LIRE LE PRÉSENT AVIS ATTENTIVEMENT PUISQUE CELUI-CI POURRAIT AFFECTER VOS DROITS.</w:t>
      </w:r>
    </w:p>
    <w:p w:rsidR="007C5A7C" w:rsidRPr="00D90EB8" w:rsidRDefault="007C5A7C" w:rsidP="007C5A7C">
      <w:pPr>
        <w:rPr>
          <w:rFonts w:cs="Arial"/>
          <w:caps/>
        </w:rPr>
      </w:pPr>
    </w:p>
    <w:p w:rsidR="007C5A7C" w:rsidRPr="00D90EB8" w:rsidRDefault="007C5A7C" w:rsidP="007C5A7C">
      <w:pPr>
        <w:rPr>
          <w:rFonts w:cs="Arial"/>
          <w:caps/>
        </w:rPr>
      </w:pPr>
      <w:r w:rsidRPr="00D90EB8">
        <w:rPr>
          <w:rFonts w:cs="Arial"/>
          <w:caps/>
        </w:rPr>
        <w:t>CET AVIS S’ADRESSE À TOUTES LES PERSONNES FAISANT PARTIE DU GROUPE SUIVANT :</w:t>
      </w:r>
    </w:p>
    <w:p w:rsidR="007C5A7C" w:rsidRPr="00D90EB8" w:rsidRDefault="007C5A7C" w:rsidP="007C5A7C">
      <w:pPr>
        <w:rPr>
          <w:rFonts w:cs="Arial"/>
          <w:caps/>
        </w:rPr>
      </w:pPr>
    </w:p>
    <w:p w:rsidR="001C3954" w:rsidRPr="00D90EB8" w:rsidRDefault="007C5A7C" w:rsidP="00D90EB8">
      <w:pPr>
        <w:spacing w:after="240"/>
        <w:ind w:left="720" w:right="763"/>
        <w:rPr>
          <w:rFonts w:cs="Arial"/>
        </w:rPr>
      </w:pPr>
      <w:r w:rsidRPr="00D90EB8">
        <w:rPr>
          <w:rFonts w:cs="Arial"/>
        </w:rPr>
        <w:t xml:space="preserve">« Toute personne résidant ou domiciliée ou ayant résidé ou ayant été domiciliée au Québec ou dans les autres provinces canadiennes </w:t>
      </w:r>
      <w:r w:rsidRPr="00D90EB8">
        <w:rPr>
          <w:rFonts w:cs="Arial"/>
        </w:rPr>
        <w:lastRenderedPageBreak/>
        <w:t xml:space="preserve">qui a été journaliste pigiste pour le </w:t>
      </w:r>
      <w:r w:rsidR="005B2B5D" w:rsidRPr="00D90EB8">
        <w:rPr>
          <w:rFonts w:cs="Arial"/>
        </w:rPr>
        <w:t>J</w:t>
      </w:r>
      <w:r w:rsidRPr="00D90EB8">
        <w:rPr>
          <w:rFonts w:cs="Arial"/>
        </w:rPr>
        <w:t xml:space="preserve">ournal </w:t>
      </w:r>
      <w:r w:rsidR="005B2B5D" w:rsidRPr="00D90EB8">
        <w:rPr>
          <w:rFonts w:cs="Arial"/>
        </w:rPr>
        <w:t>Voir</w:t>
      </w:r>
      <w:r w:rsidR="003A32EC" w:rsidRPr="00D90EB8">
        <w:rPr>
          <w:rFonts w:cs="Arial"/>
        </w:rPr>
        <w:t xml:space="preserve"> </w:t>
      </w:r>
      <w:r w:rsidRPr="00D90EB8">
        <w:rPr>
          <w:rFonts w:cs="Arial"/>
        </w:rPr>
        <w:t>à titre de travailleur autonome ou par l'entremise d'une personne morale qu'il</w:t>
      </w:r>
      <w:r w:rsidR="00D179BE">
        <w:rPr>
          <w:rFonts w:cs="Arial"/>
        </w:rPr>
        <w:t xml:space="preserve"> </w:t>
      </w:r>
      <w:r w:rsidRPr="00D90EB8">
        <w:rPr>
          <w:rFonts w:cs="Arial"/>
        </w:rPr>
        <w:t>contrôle</w:t>
      </w:r>
      <w:r w:rsidR="001C3954" w:rsidRPr="00D90EB8">
        <w:rPr>
          <w:rFonts w:cs="Arial"/>
        </w:rPr>
        <w:t> :</w:t>
      </w:r>
    </w:p>
    <w:p w:rsidR="001C3954" w:rsidRPr="00D90EB8" w:rsidRDefault="003A32EC" w:rsidP="00D90EB8">
      <w:pPr>
        <w:pStyle w:val="Paragraphedeliste"/>
        <w:numPr>
          <w:ilvl w:val="0"/>
          <w:numId w:val="8"/>
        </w:numPr>
        <w:spacing w:after="240"/>
        <w:ind w:right="763"/>
        <w:rPr>
          <w:rFonts w:ascii="Arial" w:hAnsi="Arial" w:cs="Arial"/>
          <w:caps/>
          <w:sz w:val="24"/>
          <w:szCs w:val="24"/>
        </w:rPr>
      </w:pPr>
      <w:r w:rsidRPr="00D90EB8">
        <w:rPr>
          <w:rFonts w:ascii="Arial" w:hAnsi="Arial" w:cs="Arial"/>
          <w:sz w:val="24"/>
          <w:szCs w:val="24"/>
        </w:rPr>
        <w:t xml:space="preserve">dont un article publié </w:t>
      </w:r>
      <w:r w:rsidR="001C3954" w:rsidRPr="00D90EB8">
        <w:rPr>
          <w:rFonts w:ascii="Arial" w:hAnsi="Arial" w:cs="Arial"/>
          <w:sz w:val="24"/>
          <w:szCs w:val="24"/>
        </w:rPr>
        <w:t>le ou avant le</w:t>
      </w:r>
      <w:r w:rsidR="008D3547" w:rsidRPr="00D90EB8">
        <w:rPr>
          <w:rFonts w:ascii="Arial" w:hAnsi="Arial" w:cs="Arial"/>
          <w:sz w:val="24"/>
          <w:szCs w:val="24"/>
        </w:rPr>
        <w:t xml:space="preserve"> 21</w:t>
      </w:r>
      <w:r w:rsidR="00D90EB8">
        <w:rPr>
          <w:rFonts w:ascii="Arial" w:hAnsi="Arial" w:cs="Arial"/>
          <w:sz w:val="24"/>
          <w:szCs w:val="24"/>
        </w:rPr>
        <w:t> </w:t>
      </w:r>
      <w:r w:rsidR="008D3547" w:rsidRPr="00D90EB8">
        <w:rPr>
          <w:rFonts w:ascii="Arial" w:hAnsi="Arial" w:cs="Arial"/>
          <w:sz w:val="24"/>
          <w:szCs w:val="24"/>
        </w:rPr>
        <w:t xml:space="preserve">juin 1999 </w:t>
      </w:r>
      <w:r w:rsidRPr="00D90EB8">
        <w:rPr>
          <w:rFonts w:ascii="Arial" w:hAnsi="Arial" w:cs="Arial"/>
          <w:sz w:val="24"/>
          <w:szCs w:val="24"/>
        </w:rPr>
        <w:t xml:space="preserve">dans Journal Voir en vertu d'un « privilège de première publication » sous format édition papier concédé par le journaliste pigiste a été, en vertu d'un contrat entre Journal Voir et CEDROM-SNI mais sans l'autorisation du journaliste pigiste, reproduit en format électronique sur un disque optique compact (cédérom) à mise à jour mensuelle, et intitulé </w:t>
      </w:r>
      <w:r w:rsidRPr="00D90EB8">
        <w:rPr>
          <w:rFonts w:ascii="Arial" w:hAnsi="Arial" w:cs="Arial"/>
          <w:i/>
          <w:sz w:val="24"/>
          <w:szCs w:val="24"/>
        </w:rPr>
        <w:t>Actualité Québec</w:t>
      </w:r>
      <w:r w:rsidRPr="00D90EB8">
        <w:rPr>
          <w:rFonts w:ascii="Arial" w:hAnsi="Arial" w:cs="Arial"/>
          <w:sz w:val="24"/>
          <w:szCs w:val="24"/>
        </w:rPr>
        <w:t xml:space="preserve"> et également reproduit et communiqué publiquement en format électronique sur et à partir d'une base de données « interrogeable°», à travers Internet, sur site web intitulé </w:t>
      </w:r>
      <w:r w:rsidRPr="00D90EB8">
        <w:rPr>
          <w:rFonts w:ascii="Arial" w:hAnsi="Arial" w:cs="Arial"/>
          <w:i/>
          <w:sz w:val="24"/>
          <w:szCs w:val="24"/>
        </w:rPr>
        <w:t xml:space="preserve">Eureka </w:t>
      </w:r>
      <w:r w:rsidRPr="00D90EB8">
        <w:rPr>
          <w:rFonts w:ascii="Arial" w:hAnsi="Arial" w:cs="Arial"/>
          <w:sz w:val="24"/>
          <w:szCs w:val="24"/>
        </w:rPr>
        <w:t>(adresse : http//www.eureka) (hébergé auparavant à l'URL suivant : http//cedrom-sni.qc.ca), de même que les ayants droit et les héritiers de tel journaliste pigiste s'il est décédé</w:t>
      </w:r>
      <w:r w:rsidR="008D3547" w:rsidRPr="00D90EB8">
        <w:rPr>
          <w:rFonts w:ascii="Arial" w:hAnsi="Arial" w:cs="Arial"/>
          <w:sz w:val="24"/>
          <w:szCs w:val="24"/>
        </w:rPr>
        <w:t>;</w:t>
      </w:r>
      <w:r w:rsidR="001C3954" w:rsidRPr="00D90EB8">
        <w:rPr>
          <w:rFonts w:ascii="Arial" w:hAnsi="Arial" w:cs="Arial"/>
          <w:sz w:val="24"/>
          <w:szCs w:val="24"/>
        </w:rPr>
        <w:t xml:space="preserve"> et</w:t>
      </w:r>
    </w:p>
    <w:p w:rsidR="00603DE4" w:rsidRPr="00D90EB8" w:rsidRDefault="001C3954" w:rsidP="00D90EB8">
      <w:pPr>
        <w:pStyle w:val="Paragraphedeliste"/>
        <w:numPr>
          <w:ilvl w:val="0"/>
          <w:numId w:val="8"/>
        </w:numPr>
        <w:spacing w:after="240"/>
        <w:ind w:right="763"/>
        <w:rPr>
          <w:rFonts w:ascii="Arial" w:hAnsi="Arial" w:cs="Arial"/>
          <w:caps/>
          <w:sz w:val="24"/>
          <w:szCs w:val="24"/>
        </w:rPr>
      </w:pPr>
      <w:proofErr w:type="gramStart"/>
      <w:r w:rsidRPr="00D90EB8">
        <w:rPr>
          <w:rFonts w:ascii="Arial" w:hAnsi="Arial" w:cs="Arial"/>
          <w:sz w:val="24"/>
          <w:szCs w:val="24"/>
        </w:rPr>
        <w:t>qui</w:t>
      </w:r>
      <w:proofErr w:type="gramEnd"/>
      <w:r w:rsidRPr="00D90EB8">
        <w:rPr>
          <w:rFonts w:ascii="Arial" w:hAnsi="Arial" w:cs="Arial"/>
          <w:sz w:val="24"/>
          <w:szCs w:val="24"/>
        </w:rPr>
        <w:t xml:space="preserve"> avait refusé de signer une entente</w:t>
      </w:r>
      <w:r w:rsidR="00603DE4" w:rsidRPr="00D90EB8">
        <w:rPr>
          <w:rFonts w:ascii="Arial" w:hAnsi="Arial" w:cs="Arial"/>
          <w:sz w:val="24"/>
          <w:szCs w:val="24"/>
        </w:rPr>
        <w:t xml:space="preserve"> proposée par Journal Voir</w:t>
      </w:r>
      <w:r w:rsidRPr="00D90EB8">
        <w:rPr>
          <w:rFonts w:ascii="Arial" w:hAnsi="Arial" w:cs="Arial"/>
          <w:sz w:val="24"/>
          <w:szCs w:val="24"/>
        </w:rPr>
        <w:t xml:space="preserve"> selon laquelle </w:t>
      </w:r>
      <w:r w:rsidR="00D179BE">
        <w:rPr>
          <w:rFonts w:ascii="Arial" w:hAnsi="Arial" w:cs="Arial"/>
          <w:sz w:val="24"/>
          <w:szCs w:val="24"/>
        </w:rPr>
        <w:t>elle</w:t>
      </w:r>
      <w:r w:rsidRPr="00D90EB8">
        <w:rPr>
          <w:rFonts w:ascii="Arial" w:hAnsi="Arial" w:cs="Arial"/>
          <w:sz w:val="24"/>
          <w:szCs w:val="24"/>
        </w:rPr>
        <w:t xml:space="preserve"> aurait renoncé à leur droit d’action contre </w:t>
      </w:r>
      <w:r w:rsidR="00603DE4" w:rsidRPr="00D90EB8">
        <w:rPr>
          <w:rFonts w:ascii="Arial" w:hAnsi="Arial" w:cs="Arial"/>
          <w:sz w:val="24"/>
          <w:szCs w:val="24"/>
        </w:rPr>
        <w:t>J</w:t>
      </w:r>
      <w:r w:rsidRPr="00D90EB8">
        <w:rPr>
          <w:rFonts w:ascii="Arial" w:hAnsi="Arial" w:cs="Arial"/>
          <w:sz w:val="24"/>
          <w:szCs w:val="24"/>
        </w:rPr>
        <w:t xml:space="preserve">ournal </w:t>
      </w:r>
      <w:r w:rsidR="00603DE4" w:rsidRPr="00D90EB8">
        <w:rPr>
          <w:rFonts w:ascii="Arial" w:hAnsi="Arial" w:cs="Arial"/>
          <w:sz w:val="24"/>
          <w:szCs w:val="24"/>
        </w:rPr>
        <w:t>V</w:t>
      </w:r>
      <w:r w:rsidRPr="00D90EB8">
        <w:rPr>
          <w:rFonts w:ascii="Arial" w:hAnsi="Arial" w:cs="Arial"/>
          <w:sz w:val="24"/>
          <w:szCs w:val="24"/>
        </w:rPr>
        <w:t xml:space="preserve">oir </w:t>
      </w:r>
      <w:r w:rsidR="00603DE4" w:rsidRPr="00D90EB8">
        <w:rPr>
          <w:rFonts w:ascii="Arial" w:hAnsi="Arial" w:cs="Arial"/>
          <w:sz w:val="24"/>
          <w:szCs w:val="24"/>
        </w:rPr>
        <w:t>du fait de la reproduction et la communication publique de leur(s) articles(s) par</w:t>
      </w:r>
      <w:r w:rsidRPr="00D90EB8">
        <w:rPr>
          <w:rFonts w:ascii="Arial" w:hAnsi="Arial" w:cs="Arial"/>
          <w:sz w:val="24"/>
          <w:szCs w:val="24"/>
        </w:rPr>
        <w:t xml:space="preserve"> CEDROM-SNI</w:t>
      </w:r>
      <w:r w:rsidR="00D90EB8">
        <w:rPr>
          <w:rFonts w:ascii="Arial" w:hAnsi="Arial" w:cs="Arial"/>
          <w:sz w:val="24"/>
          <w:szCs w:val="24"/>
        </w:rPr>
        <w:t>;</w:t>
      </w:r>
      <w:r w:rsidRPr="00D90EB8">
        <w:rPr>
          <w:rFonts w:ascii="Arial" w:hAnsi="Arial" w:cs="Arial"/>
          <w:sz w:val="24"/>
          <w:szCs w:val="24"/>
        </w:rPr>
        <w:t xml:space="preserve"> et</w:t>
      </w:r>
    </w:p>
    <w:p w:rsidR="007C5A7C" w:rsidRPr="00D90EB8" w:rsidRDefault="001C3954" w:rsidP="00D90EB8">
      <w:pPr>
        <w:pStyle w:val="Paragraphedeliste"/>
        <w:numPr>
          <w:ilvl w:val="0"/>
          <w:numId w:val="8"/>
        </w:numPr>
        <w:spacing w:after="480"/>
        <w:ind w:right="763"/>
        <w:rPr>
          <w:rFonts w:ascii="Arial" w:hAnsi="Arial" w:cs="Arial"/>
          <w:caps/>
          <w:sz w:val="24"/>
          <w:szCs w:val="24"/>
        </w:rPr>
      </w:pPr>
      <w:proofErr w:type="gramStart"/>
      <w:r w:rsidRPr="00D90EB8">
        <w:rPr>
          <w:rFonts w:ascii="Arial" w:hAnsi="Arial" w:cs="Arial"/>
          <w:sz w:val="24"/>
          <w:szCs w:val="24"/>
        </w:rPr>
        <w:t>qui</w:t>
      </w:r>
      <w:proofErr w:type="gramEnd"/>
      <w:r w:rsidRPr="00D90EB8">
        <w:rPr>
          <w:rFonts w:ascii="Arial" w:hAnsi="Arial" w:cs="Arial"/>
          <w:sz w:val="24"/>
          <w:szCs w:val="24"/>
        </w:rPr>
        <w:t xml:space="preserve"> </w:t>
      </w:r>
      <w:r w:rsidR="00603DE4" w:rsidRPr="00D90EB8">
        <w:rPr>
          <w:rFonts w:ascii="Arial" w:hAnsi="Arial" w:cs="Arial"/>
          <w:sz w:val="24"/>
          <w:szCs w:val="24"/>
        </w:rPr>
        <w:t xml:space="preserve">n’avait </w:t>
      </w:r>
      <w:r w:rsidRPr="00D90EB8">
        <w:rPr>
          <w:rFonts w:ascii="Arial" w:hAnsi="Arial" w:cs="Arial"/>
          <w:sz w:val="24"/>
          <w:szCs w:val="24"/>
        </w:rPr>
        <w:t>plus été invité</w:t>
      </w:r>
      <w:r w:rsidR="00D179BE">
        <w:rPr>
          <w:rFonts w:ascii="Arial" w:hAnsi="Arial" w:cs="Arial"/>
          <w:sz w:val="24"/>
          <w:szCs w:val="24"/>
        </w:rPr>
        <w:t>e</w:t>
      </w:r>
      <w:r w:rsidRPr="00D90EB8">
        <w:rPr>
          <w:rFonts w:ascii="Arial" w:hAnsi="Arial" w:cs="Arial"/>
          <w:sz w:val="24"/>
          <w:szCs w:val="24"/>
        </w:rPr>
        <w:t xml:space="preserve"> avant la présente entente à collaborer avec Journal Voir</w:t>
      </w:r>
      <w:r w:rsidR="00655B77" w:rsidRPr="00D90EB8">
        <w:rPr>
          <w:rFonts w:ascii="Arial" w:hAnsi="Arial" w:cs="Arial"/>
          <w:sz w:val="24"/>
          <w:szCs w:val="24"/>
        </w:rPr>
        <w:t xml:space="preserve"> </w:t>
      </w:r>
      <w:r w:rsidR="003C6A53" w:rsidRPr="00D90EB8">
        <w:rPr>
          <w:rFonts w:ascii="Arial" w:hAnsi="Arial" w:cs="Arial"/>
          <w:sz w:val="24"/>
          <w:szCs w:val="24"/>
        </w:rPr>
        <w:t>p</w:t>
      </w:r>
      <w:r w:rsidR="00655B77" w:rsidRPr="00D90EB8">
        <w:rPr>
          <w:rFonts w:ascii="Arial" w:hAnsi="Arial" w:cs="Arial"/>
          <w:sz w:val="24"/>
          <w:szCs w:val="24"/>
        </w:rPr>
        <w:t>a</w:t>
      </w:r>
      <w:r w:rsidR="003C6A53" w:rsidRPr="00D90EB8">
        <w:rPr>
          <w:rFonts w:ascii="Arial" w:hAnsi="Arial" w:cs="Arial"/>
          <w:sz w:val="24"/>
          <w:szCs w:val="24"/>
        </w:rPr>
        <w:t>rce qu’</w:t>
      </w:r>
      <w:r w:rsidR="00D179BE">
        <w:rPr>
          <w:rFonts w:ascii="Arial" w:hAnsi="Arial" w:cs="Arial"/>
          <w:sz w:val="24"/>
          <w:szCs w:val="24"/>
        </w:rPr>
        <w:t>elle</w:t>
      </w:r>
      <w:r w:rsidR="003C6A53" w:rsidRPr="00D90EB8">
        <w:rPr>
          <w:rFonts w:ascii="Arial" w:hAnsi="Arial" w:cs="Arial"/>
          <w:sz w:val="24"/>
          <w:szCs w:val="24"/>
        </w:rPr>
        <w:t xml:space="preserve"> avait refusé de signer l’entente proposée concernant la renonciat</w:t>
      </w:r>
      <w:r w:rsidR="00655B77" w:rsidRPr="00D90EB8">
        <w:rPr>
          <w:rFonts w:ascii="Arial" w:hAnsi="Arial" w:cs="Arial"/>
          <w:sz w:val="24"/>
          <w:szCs w:val="24"/>
        </w:rPr>
        <w:t>i</w:t>
      </w:r>
      <w:r w:rsidR="003C6A53" w:rsidRPr="00D90EB8">
        <w:rPr>
          <w:rFonts w:ascii="Arial" w:hAnsi="Arial" w:cs="Arial"/>
          <w:sz w:val="24"/>
          <w:szCs w:val="24"/>
        </w:rPr>
        <w:t xml:space="preserve">on </w:t>
      </w:r>
      <w:r w:rsidR="00655B77" w:rsidRPr="00D90EB8">
        <w:rPr>
          <w:rFonts w:ascii="Arial" w:hAnsi="Arial" w:cs="Arial"/>
          <w:sz w:val="24"/>
          <w:szCs w:val="24"/>
        </w:rPr>
        <w:t>à</w:t>
      </w:r>
      <w:r w:rsidR="003C6A53" w:rsidRPr="00D90EB8">
        <w:rPr>
          <w:rFonts w:ascii="Arial" w:hAnsi="Arial" w:cs="Arial"/>
          <w:sz w:val="24"/>
          <w:szCs w:val="24"/>
        </w:rPr>
        <w:t xml:space="preserve"> leur droit d’action</w:t>
      </w:r>
      <w:r w:rsidRPr="00D90EB8">
        <w:rPr>
          <w:rFonts w:ascii="Arial" w:hAnsi="Arial" w:cs="Arial"/>
          <w:sz w:val="24"/>
          <w:szCs w:val="24"/>
        </w:rPr>
        <w:t>.</w:t>
      </w:r>
    </w:p>
    <w:p w:rsidR="007C5A7C" w:rsidRPr="00D90EB8" w:rsidRDefault="005B2B5D" w:rsidP="00D90EB8">
      <w:pPr>
        <w:keepNext/>
        <w:spacing w:after="480"/>
        <w:rPr>
          <w:rFonts w:cs="Arial"/>
        </w:rPr>
      </w:pPr>
      <w:r w:rsidRPr="00D90EB8">
        <w:rPr>
          <w:rFonts w:cs="Arial"/>
        </w:rPr>
        <w:t>L’entente</w:t>
      </w:r>
      <w:r w:rsidR="007C5A7C" w:rsidRPr="00D90EB8">
        <w:rPr>
          <w:rFonts w:cs="Arial"/>
        </w:rPr>
        <w:t xml:space="preserve"> de </w:t>
      </w:r>
      <w:r w:rsidR="00043496" w:rsidRPr="00D90EB8">
        <w:rPr>
          <w:rFonts w:cs="Arial"/>
        </w:rPr>
        <w:t xml:space="preserve">règlement </w:t>
      </w:r>
      <w:r w:rsidRPr="00D90EB8">
        <w:rPr>
          <w:rFonts w:cs="Arial"/>
        </w:rPr>
        <w:t>comporte</w:t>
      </w:r>
      <w:r w:rsidR="00043496" w:rsidRPr="00D90EB8">
        <w:rPr>
          <w:rFonts w:cs="Arial"/>
        </w:rPr>
        <w:t xml:space="preserve"> </w:t>
      </w:r>
      <w:r w:rsidR="00655B77" w:rsidRPr="00D90EB8">
        <w:rPr>
          <w:rFonts w:cs="Arial"/>
        </w:rPr>
        <w:t>six</w:t>
      </w:r>
      <w:r w:rsidR="007C5A7C" w:rsidRPr="00D90EB8">
        <w:rPr>
          <w:rFonts w:cs="Arial"/>
        </w:rPr>
        <w:t xml:space="preserve"> volets, à savoir :</w:t>
      </w:r>
    </w:p>
    <w:p w:rsidR="007C5A7C" w:rsidRPr="00D90EB8" w:rsidRDefault="007C5A7C" w:rsidP="00D90EB8">
      <w:pPr>
        <w:numPr>
          <w:ilvl w:val="0"/>
          <w:numId w:val="1"/>
        </w:numPr>
        <w:tabs>
          <w:tab w:val="clear" w:pos="4680"/>
        </w:tabs>
        <w:spacing w:after="240"/>
        <w:ind w:hanging="720"/>
        <w:rPr>
          <w:rFonts w:cs="Arial"/>
          <w:b/>
        </w:rPr>
      </w:pPr>
      <w:r w:rsidRPr="00D90EB8">
        <w:rPr>
          <w:rFonts w:cs="Arial"/>
          <w:b/>
        </w:rPr>
        <w:t xml:space="preserve">INDEMNITÉS VERSÉES AUX </w:t>
      </w:r>
      <w:r w:rsidR="00D90EB8">
        <w:rPr>
          <w:rFonts w:cs="Arial"/>
          <w:b/>
        </w:rPr>
        <w:t>MEMBRES DU GROUPE</w:t>
      </w:r>
    </w:p>
    <w:p w:rsidR="007C5A7C" w:rsidRPr="00D90EB8" w:rsidRDefault="007C5A7C" w:rsidP="00D90EB8">
      <w:pPr>
        <w:tabs>
          <w:tab w:val="clear" w:pos="4680"/>
          <w:tab w:val="left" w:pos="1260"/>
        </w:tabs>
        <w:suppressAutoHyphens/>
        <w:autoSpaceDN w:val="0"/>
        <w:spacing w:after="240"/>
        <w:ind w:left="1282"/>
        <w:textAlignment w:val="baseline"/>
        <w:rPr>
          <w:rFonts w:cs="Arial"/>
        </w:rPr>
      </w:pPr>
      <w:r w:rsidRPr="00D90EB8">
        <w:rPr>
          <w:rFonts w:cs="Arial"/>
        </w:rPr>
        <w:t>Une somme de 20 000,00</w:t>
      </w:r>
      <w:r w:rsidR="00D90EB8">
        <w:rPr>
          <w:rFonts w:cs="Arial"/>
        </w:rPr>
        <w:t> </w:t>
      </w:r>
      <w:r w:rsidRPr="00D90EB8">
        <w:rPr>
          <w:rFonts w:cs="Arial"/>
        </w:rPr>
        <w:t>$</w:t>
      </w:r>
      <w:r w:rsidR="00D90EB8">
        <w:rPr>
          <w:rFonts w:cs="Arial"/>
        </w:rPr>
        <w:t xml:space="preserve"> </w:t>
      </w:r>
      <w:r w:rsidRPr="00D90EB8">
        <w:rPr>
          <w:rFonts w:cs="Arial"/>
        </w:rPr>
        <w:t xml:space="preserve">va être distribuée aux membres du groupe en réparation de leur préjudice moral. </w:t>
      </w:r>
    </w:p>
    <w:p w:rsidR="007C5A7C" w:rsidRPr="00D90EB8" w:rsidRDefault="007C5A7C" w:rsidP="00D90EB8">
      <w:pPr>
        <w:tabs>
          <w:tab w:val="clear" w:pos="4680"/>
          <w:tab w:val="left" w:pos="1260"/>
        </w:tabs>
        <w:suppressAutoHyphens/>
        <w:autoSpaceDN w:val="0"/>
        <w:spacing w:after="240"/>
        <w:ind w:left="1282"/>
        <w:textAlignment w:val="baseline"/>
        <w:rPr>
          <w:rFonts w:cs="Arial"/>
        </w:rPr>
      </w:pPr>
      <w:r w:rsidRPr="00D90EB8">
        <w:rPr>
          <w:rFonts w:cs="Arial"/>
        </w:rPr>
        <w:t xml:space="preserve">La distribution d’indemnités </w:t>
      </w:r>
      <w:r w:rsidR="0087418A" w:rsidRPr="00D90EB8">
        <w:rPr>
          <w:rFonts w:cs="Arial"/>
        </w:rPr>
        <w:t>sera effectuée par l’AJIQ</w:t>
      </w:r>
      <w:r w:rsidR="00896DDC" w:rsidRPr="00D90EB8">
        <w:rPr>
          <w:rFonts w:cs="Arial"/>
        </w:rPr>
        <w:t>-CSN</w:t>
      </w:r>
      <w:r w:rsidR="0087418A" w:rsidRPr="00D90EB8">
        <w:rPr>
          <w:rFonts w:cs="Arial"/>
        </w:rPr>
        <w:t>.</w:t>
      </w:r>
    </w:p>
    <w:p w:rsidR="003302FA" w:rsidRPr="00D90EB8" w:rsidRDefault="007C5A7C" w:rsidP="00D90EB8">
      <w:pPr>
        <w:tabs>
          <w:tab w:val="clear" w:pos="4680"/>
          <w:tab w:val="left" w:pos="1260"/>
        </w:tabs>
        <w:spacing w:after="240"/>
        <w:ind w:left="1282"/>
        <w:rPr>
          <w:rFonts w:cs="Arial"/>
        </w:rPr>
      </w:pPr>
      <w:r w:rsidRPr="00D90EB8">
        <w:rPr>
          <w:rFonts w:cs="Arial"/>
        </w:rPr>
        <w:t>Les membres du groupe devront soumettre un formula</w:t>
      </w:r>
      <w:r w:rsidR="003302FA" w:rsidRPr="00D90EB8">
        <w:rPr>
          <w:rFonts w:cs="Arial"/>
        </w:rPr>
        <w:t>ire de réclamatio</w:t>
      </w:r>
      <w:r w:rsidR="0087418A" w:rsidRPr="00D90EB8">
        <w:rPr>
          <w:rFonts w:cs="Arial"/>
        </w:rPr>
        <w:t>n à l’AJIQ–CSN dans un délai d’</w:t>
      </w:r>
      <w:r w:rsidR="00005177" w:rsidRPr="00D90EB8">
        <w:rPr>
          <w:rFonts w:cs="Arial"/>
        </w:rPr>
        <w:t>un</w:t>
      </w:r>
      <w:r w:rsidR="003302FA" w:rsidRPr="00D90EB8">
        <w:rPr>
          <w:rFonts w:cs="Arial"/>
        </w:rPr>
        <w:t xml:space="preserve"> mois à compter de l’approbation du règlement par l’honorable Claude Dallaire, juge de la Cour supérieure</w:t>
      </w:r>
      <w:r w:rsidR="00655B77" w:rsidRPr="00D90EB8">
        <w:rPr>
          <w:rFonts w:cs="Arial"/>
        </w:rPr>
        <w:t xml:space="preserve"> du Québec,</w:t>
      </w:r>
      <w:r w:rsidR="003302FA" w:rsidRPr="00D90EB8">
        <w:rPr>
          <w:rFonts w:cs="Arial"/>
        </w:rPr>
        <w:t xml:space="preserve"> </w:t>
      </w:r>
      <w:r w:rsidR="00655B77" w:rsidRPr="00D90EB8">
        <w:rPr>
          <w:rFonts w:cs="Arial"/>
        </w:rPr>
        <w:t>district judiciaire</w:t>
      </w:r>
      <w:r w:rsidR="003302FA" w:rsidRPr="00D90EB8">
        <w:rPr>
          <w:rFonts w:cs="Arial"/>
        </w:rPr>
        <w:t xml:space="preserve"> de Montréal. </w:t>
      </w:r>
    </w:p>
    <w:p w:rsidR="008216A7" w:rsidRPr="00D90EB8" w:rsidRDefault="003302FA" w:rsidP="00D90EB8">
      <w:pPr>
        <w:keepNext/>
        <w:tabs>
          <w:tab w:val="left" w:pos="1260"/>
        </w:tabs>
        <w:spacing w:after="240"/>
        <w:ind w:left="1282"/>
        <w:rPr>
          <w:rFonts w:cs="Arial"/>
        </w:rPr>
      </w:pPr>
      <w:r w:rsidRPr="00D90EB8">
        <w:rPr>
          <w:rFonts w:cs="Arial"/>
        </w:rPr>
        <w:t>Cette réclamation devra être envoyée par courrier recommandé avec accusé de réception au siège de l’AJIQ</w:t>
      </w:r>
      <w:r w:rsidR="00005177" w:rsidRPr="00D90EB8">
        <w:rPr>
          <w:rFonts w:cs="Arial"/>
        </w:rPr>
        <w:t xml:space="preserve"> – 33D-1124 rue Marie-Anne Est, Montréal (Québec) H2J 2B7</w:t>
      </w:r>
      <w:r w:rsidRPr="00D90EB8">
        <w:rPr>
          <w:rFonts w:cs="Arial"/>
        </w:rPr>
        <w:t>, et justifi</w:t>
      </w:r>
      <w:r w:rsidR="00896DDC" w:rsidRPr="00D90EB8">
        <w:rPr>
          <w:rFonts w:cs="Arial"/>
        </w:rPr>
        <w:t>é d’une attestation</w:t>
      </w:r>
      <w:r w:rsidR="008216A7" w:rsidRPr="00D90EB8">
        <w:rPr>
          <w:rFonts w:cs="Arial"/>
        </w:rPr>
        <w:t> :</w:t>
      </w:r>
      <w:r w:rsidR="00374532" w:rsidRPr="00D90EB8">
        <w:rPr>
          <w:rFonts w:cs="Arial"/>
        </w:rPr>
        <w:t xml:space="preserve"> </w:t>
      </w:r>
    </w:p>
    <w:p w:rsidR="008216A7" w:rsidRPr="00D90EB8" w:rsidRDefault="00896DDC" w:rsidP="00D90EB8">
      <w:pPr>
        <w:pStyle w:val="Paragraphedeliste"/>
        <w:numPr>
          <w:ilvl w:val="0"/>
          <w:numId w:val="9"/>
        </w:numPr>
        <w:tabs>
          <w:tab w:val="left" w:pos="1260"/>
        </w:tabs>
        <w:spacing w:after="240"/>
        <w:ind w:left="1642"/>
        <w:rPr>
          <w:rFonts w:ascii="Arial" w:hAnsi="Arial" w:cs="Arial"/>
          <w:sz w:val="24"/>
          <w:szCs w:val="24"/>
        </w:rPr>
      </w:pPr>
      <w:r w:rsidRPr="00D90EB8">
        <w:rPr>
          <w:rFonts w:ascii="Arial" w:hAnsi="Arial" w:cs="Arial"/>
          <w:sz w:val="24"/>
          <w:szCs w:val="24"/>
        </w:rPr>
        <w:t>q</w:t>
      </w:r>
      <w:r w:rsidR="00D90EB8">
        <w:rPr>
          <w:rFonts w:ascii="Arial" w:hAnsi="Arial" w:cs="Arial"/>
          <w:sz w:val="24"/>
          <w:szCs w:val="24"/>
        </w:rPr>
        <w:t>ue le réclamant s’est vu proposer</w:t>
      </w:r>
      <w:r w:rsidRPr="00D90EB8">
        <w:rPr>
          <w:rFonts w:ascii="Arial" w:hAnsi="Arial" w:cs="Arial"/>
          <w:sz w:val="24"/>
          <w:szCs w:val="24"/>
        </w:rPr>
        <w:t xml:space="preserve"> la signature d’une entente visant la renonciation à ses droits d’action contre Journal Voir, qu’il </w:t>
      </w:r>
      <w:r w:rsidRPr="00D90EB8">
        <w:rPr>
          <w:rFonts w:ascii="Arial" w:hAnsi="Arial" w:cs="Arial"/>
          <w:sz w:val="24"/>
          <w:szCs w:val="24"/>
        </w:rPr>
        <w:lastRenderedPageBreak/>
        <w:t>a refusé de la signer, et que de ce fait il n’a plus été</w:t>
      </w:r>
      <w:r w:rsidR="003302FA" w:rsidRPr="00D90EB8">
        <w:rPr>
          <w:rFonts w:ascii="Arial" w:hAnsi="Arial" w:cs="Arial"/>
          <w:sz w:val="24"/>
          <w:szCs w:val="24"/>
        </w:rPr>
        <w:t xml:space="preserve"> </w:t>
      </w:r>
      <w:r w:rsidR="008216A7" w:rsidRPr="00D90EB8">
        <w:rPr>
          <w:rFonts w:ascii="Arial" w:hAnsi="Arial" w:cs="Arial"/>
          <w:sz w:val="24"/>
          <w:szCs w:val="24"/>
        </w:rPr>
        <w:t>appelé à contribuer à Journal Voir;</w:t>
      </w:r>
    </w:p>
    <w:p w:rsidR="003302FA" w:rsidRPr="00D90EB8" w:rsidRDefault="008216A7" w:rsidP="00D90EB8">
      <w:pPr>
        <w:pStyle w:val="Paragraphedeliste"/>
        <w:numPr>
          <w:ilvl w:val="0"/>
          <w:numId w:val="9"/>
        </w:numPr>
        <w:tabs>
          <w:tab w:val="left" w:pos="1260"/>
        </w:tabs>
        <w:spacing w:after="240"/>
        <w:ind w:left="1642"/>
        <w:rPr>
          <w:rFonts w:ascii="Arial" w:hAnsi="Arial" w:cs="Arial"/>
          <w:sz w:val="24"/>
          <w:szCs w:val="24"/>
        </w:rPr>
      </w:pPr>
      <w:r w:rsidRPr="00D90EB8">
        <w:rPr>
          <w:rFonts w:ascii="Arial" w:hAnsi="Arial" w:cs="Arial"/>
          <w:sz w:val="24"/>
          <w:szCs w:val="24"/>
        </w:rPr>
        <w:t xml:space="preserve">du </w:t>
      </w:r>
      <w:r w:rsidR="003302FA" w:rsidRPr="00D90EB8">
        <w:rPr>
          <w:rFonts w:ascii="Arial" w:hAnsi="Arial" w:cs="Arial"/>
          <w:sz w:val="24"/>
          <w:szCs w:val="24"/>
        </w:rPr>
        <w:t xml:space="preserve">nombre et </w:t>
      </w:r>
      <w:r w:rsidRPr="00D90EB8">
        <w:rPr>
          <w:rFonts w:ascii="Arial" w:hAnsi="Arial" w:cs="Arial"/>
          <w:sz w:val="24"/>
          <w:szCs w:val="24"/>
        </w:rPr>
        <w:t xml:space="preserve">de </w:t>
      </w:r>
      <w:r w:rsidR="003302FA" w:rsidRPr="00D90EB8">
        <w:rPr>
          <w:rFonts w:ascii="Arial" w:hAnsi="Arial" w:cs="Arial"/>
          <w:sz w:val="24"/>
          <w:szCs w:val="24"/>
        </w:rPr>
        <w:t xml:space="preserve">la longueur des textes écrits par l’auteur de la réclamation et publiés </w:t>
      </w:r>
      <w:r w:rsidR="00005177" w:rsidRPr="00D90EB8">
        <w:rPr>
          <w:rFonts w:ascii="Arial" w:hAnsi="Arial" w:cs="Arial"/>
          <w:sz w:val="24"/>
          <w:szCs w:val="24"/>
        </w:rPr>
        <w:t xml:space="preserve">par Journal Voir puis sous format électronique. </w:t>
      </w:r>
    </w:p>
    <w:p w:rsidR="003302FA" w:rsidRPr="00D90EB8" w:rsidRDefault="003302FA" w:rsidP="00D90EB8">
      <w:pPr>
        <w:tabs>
          <w:tab w:val="left" w:pos="1260"/>
        </w:tabs>
        <w:spacing w:after="240"/>
        <w:ind w:left="1282"/>
        <w:rPr>
          <w:rFonts w:cs="Arial"/>
        </w:rPr>
      </w:pPr>
      <w:r w:rsidRPr="00D90EB8">
        <w:rPr>
          <w:rFonts w:cs="Arial"/>
        </w:rPr>
        <w:t xml:space="preserve">La répartition sera faite dans les deux semaines suivant la fin du délai de réclamation, et </w:t>
      </w:r>
      <w:r w:rsidR="00603DE4" w:rsidRPr="00D90EB8">
        <w:rPr>
          <w:rFonts w:cs="Arial"/>
        </w:rPr>
        <w:t>en proportion du nombre de journalistes pigistes visés par le règlement</w:t>
      </w:r>
      <w:r w:rsidR="00D90EB8">
        <w:rPr>
          <w:rFonts w:cs="Arial"/>
        </w:rPr>
        <w:t>.</w:t>
      </w:r>
    </w:p>
    <w:p w:rsidR="007C5A7C" w:rsidRPr="00D90EB8" w:rsidRDefault="007C5A7C" w:rsidP="00D90EB8">
      <w:pPr>
        <w:tabs>
          <w:tab w:val="clear" w:pos="4680"/>
          <w:tab w:val="left" w:pos="1260"/>
        </w:tabs>
        <w:spacing w:after="360"/>
        <w:ind w:left="1282"/>
        <w:rPr>
          <w:rFonts w:cs="Arial"/>
        </w:rPr>
      </w:pPr>
      <w:r w:rsidRPr="00D90EB8">
        <w:rPr>
          <w:rFonts w:cs="Arial"/>
        </w:rPr>
        <w:t xml:space="preserve">Cette somme </w:t>
      </w:r>
      <w:r w:rsidR="00603DE4" w:rsidRPr="00D90EB8">
        <w:rPr>
          <w:rFonts w:cs="Arial"/>
        </w:rPr>
        <w:t>est versée intégralement aux journalistes pigistes, l’AJIQ assu</w:t>
      </w:r>
      <w:r w:rsidR="00896DDC" w:rsidRPr="00D90EB8">
        <w:rPr>
          <w:rFonts w:cs="Arial"/>
        </w:rPr>
        <w:t>m</w:t>
      </w:r>
      <w:r w:rsidR="00603DE4" w:rsidRPr="00D90EB8">
        <w:rPr>
          <w:rFonts w:cs="Arial"/>
        </w:rPr>
        <w:t>ant</w:t>
      </w:r>
      <w:r w:rsidR="00655B77" w:rsidRPr="00D90EB8">
        <w:rPr>
          <w:rFonts w:cs="Arial"/>
        </w:rPr>
        <w:t xml:space="preserve"> à même ses fonds propres</w:t>
      </w:r>
      <w:r w:rsidR="00603DE4" w:rsidRPr="00D90EB8">
        <w:rPr>
          <w:rFonts w:cs="Arial"/>
        </w:rPr>
        <w:t xml:space="preserve"> les </w:t>
      </w:r>
      <w:r w:rsidRPr="00D90EB8">
        <w:rPr>
          <w:rFonts w:cs="Arial"/>
        </w:rPr>
        <w:t>honoraires judiciaires et extrajudiciaires de l’avocat du groupe, Me</w:t>
      </w:r>
      <w:r w:rsidR="00D90EB8">
        <w:rPr>
          <w:rFonts w:cs="Arial"/>
        </w:rPr>
        <w:t> </w:t>
      </w:r>
      <w:r w:rsidRPr="00D90EB8">
        <w:rPr>
          <w:rFonts w:cs="Arial"/>
        </w:rPr>
        <w:t>Normand Tamaro</w:t>
      </w:r>
      <w:r w:rsidRPr="00D90EB8">
        <w:rPr>
          <w:rFonts w:cs="Arial"/>
          <w:caps/>
        </w:rPr>
        <w:t xml:space="preserve"> </w:t>
      </w:r>
      <w:r w:rsidR="003302FA" w:rsidRPr="00D90EB8">
        <w:rPr>
          <w:rFonts w:cs="Arial"/>
        </w:rPr>
        <w:t xml:space="preserve">du cabinet </w:t>
      </w:r>
      <w:r w:rsidRPr="00D90EB8">
        <w:rPr>
          <w:rFonts w:cs="Arial"/>
        </w:rPr>
        <w:t>Mannella Gauthier Tamaro.</w:t>
      </w:r>
    </w:p>
    <w:p w:rsidR="007C5A7C" w:rsidRPr="00D90EB8" w:rsidRDefault="003302FA" w:rsidP="00D90EB8">
      <w:pPr>
        <w:keepNext/>
        <w:numPr>
          <w:ilvl w:val="0"/>
          <w:numId w:val="1"/>
        </w:numPr>
        <w:tabs>
          <w:tab w:val="clear" w:pos="4680"/>
        </w:tabs>
        <w:spacing w:after="240"/>
        <w:ind w:hanging="720"/>
        <w:rPr>
          <w:rFonts w:cs="Arial"/>
          <w:b/>
        </w:rPr>
      </w:pPr>
      <w:r w:rsidRPr="00D90EB8">
        <w:rPr>
          <w:rFonts w:cs="Arial"/>
          <w:b/>
        </w:rPr>
        <w:t>RECONNAISSANCE PAR</w:t>
      </w:r>
      <w:r w:rsidR="00D90EB8">
        <w:rPr>
          <w:rFonts w:cs="Arial"/>
          <w:b/>
        </w:rPr>
        <w:t xml:space="preserve"> JOURNAL VOIR DU RÔLE DE L’AJIQ</w:t>
      </w:r>
    </w:p>
    <w:p w:rsidR="007C5A7C" w:rsidRPr="00D90EB8" w:rsidRDefault="003302FA" w:rsidP="00D90EB8">
      <w:pPr>
        <w:tabs>
          <w:tab w:val="clear" w:pos="4680"/>
        </w:tabs>
        <w:spacing w:after="360"/>
        <w:ind w:left="1282"/>
        <w:rPr>
          <w:rFonts w:cs="Arial"/>
          <w:b/>
        </w:rPr>
      </w:pPr>
      <w:r w:rsidRPr="00D90EB8">
        <w:rPr>
          <w:rFonts w:cs="Arial"/>
        </w:rPr>
        <w:t xml:space="preserve">Journal Voir reconnaît expressément l’importance que joue l’AJIQ, et son statut d’interlocuteur privilégié pour représenter les journalistes indépendants et défendre leurs droits et intérêts. </w:t>
      </w:r>
    </w:p>
    <w:p w:rsidR="007C5A7C" w:rsidRPr="00D90EB8" w:rsidRDefault="00D90EB8" w:rsidP="00D90EB8">
      <w:pPr>
        <w:keepNext/>
        <w:numPr>
          <w:ilvl w:val="0"/>
          <w:numId w:val="1"/>
        </w:numPr>
        <w:tabs>
          <w:tab w:val="clear" w:pos="4680"/>
        </w:tabs>
        <w:spacing w:after="240"/>
        <w:ind w:hanging="720"/>
        <w:rPr>
          <w:rFonts w:cs="Arial"/>
          <w:b/>
        </w:rPr>
      </w:pPr>
      <w:r>
        <w:rPr>
          <w:rFonts w:cs="Arial"/>
          <w:b/>
        </w:rPr>
        <w:t>STAGE AUX MEMBRES DE L’AJIQ</w:t>
      </w:r>
    </w:p>
    <w:p w:rsidR="00C84720" w:rsidRPr="00D90EB8" w:rsidRDefault="00C84720" w:rsidP="00D90EB8">
      <w:pPr>
        <w:tabs>
          <w:tab w:val="clear" w:pos="4680"/>
          <w:tab w:val="left" w:pos="1260"/>
        </w:tabs>
        <w:suppressAutoHyphens/>
        <w:autoSpaceDN w:val="0"/>
        <w:spacing w:after="360"/>
        <w:ind w:left="1282"/>
        <w:textAlignment w:val="baseline"/>
        <w:rPr>
          <w:rFonts w:cs="Arial"/>
        </w:rPr>
      </w:pPr>
      <w:r w:rsidRPr="00D90EB8">
        <w:rPr>
          <w:rFonts w:cs="Arial"/>
        </w:rPr>
        <w:t xml:space="preserve">Journal </w:t>
      </w:r>
      <w:r w:rsidR="0087418A" w:rsidRPr="00D90EB8">
        <w:rPr>
          <w:rFonts w:cs="Arial"/>
        </w:rPr>
        <w:t>Voir</w:t>
      </w:r>
      <w:r w:rsidRPr="00D90EB8">
        <w:rPr>
          <w:rFonts w:cs="Arial"/>
        </w:rPr>
        <w:t xml:space="preserve"> et l’AJIQ se sont engagés à mettre en place un programme de stage rémunéré </w:t>
      </w:r>
      <w:r w:rsidR="00655B77" w:rsidRPr="00D90EB8">
        <w:rPr>
          <w:rFonts w:cs="Arial"/>
        </w:rPr>
        <w:t xml:space="preserve">par Journal Voir </w:t>
      </w:r>
      <w:r w:rsidRPr="00D90EB8">
        <w:rPr>
          <w:rFonts w:cs="Arial"/>
        </w:rPr>
        <w:t>d’une période maximale de trois mois sur une durée de trois ans, pouvant être reconduit au gré des parties visant à permettre à des étudiants d</w:t>
      </w:r>
      <w:r w:rsidR="00655B77" w:rsidRPr="00D90EB8">
        <w:rPr>
          <w:rFonts w:cs="Arial"/>
        </w:rPr>
        <w:t>ans le domaine</w:t>
      </w:r>
      <w:r w:rsidRPr="00D90EB8">
        <w:rPr>
          <w:rFonts w:cs="Arial"/>
        </w:rPr>
        <w:t xml:space="preserve"> </w:t>
      </w:r>
      <w:r w:rsidR="00377BD1">
        <w:rPr>
          <w:rFonts w:cs="Arial"/>
        </w:rPr>
        <w:t xml:space="preserve">du </w:t>
      </w:r>
      <w:r w:rsidRPr="00D90EB8">
        <w:rPr>
          <w:rFonts w:cs="Arial"/>
        </w:rPr>
        <w:t xml:space="preserve">milieu journalistique ou à des journalistes indépendants </w:t>
      </w:r>
      <w:r w:rsidR="00480BA1" w:rsidRPr="00D90EB8">
        <w:rPr>
          <w:rFonts w:cs="Arial"/>
        </w:rPr>
        <w:t xml:space="preserve">de la relève d’effectuer un stage au sein du Journal Voir. </w:t>
      </w:r>
    </w:p>
    <w:p w:rsidR="00480BA1" w:rsidRPr="00D90EB8" w:rsidRDefault="00D90EB8" w:rsidP="00D90EB8">
      <w:pPr>
        <w:pStyle w:val="Paragraphedeliste"/>
        <w:keepNext/>
        <w:numPr>
          <w:ilvl w:val="0"/>
          <w:numId w:val="1"/>
        </w:numPr>
        <w:tabs>
          <w:tab w:val="left" w:pos="1260"/>
        </w:tabs>
        <w:spacing w:after="240"/>
        <w:ind w:hanging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CONTRAT-TYPE</w:t>
      </w:r>
    </w:p>
    <w:p w:rsidR="00480BA1" w:rsidRPr="00D90EB8" w:rsidRDefault="00480BA1" w:rsidP="00D90EB8">
      <w:pPr>
        <w:tabs>
          <w:tab w:val="left" w:pos="1260"/>
        </w:tabs>
        <w:spacing w:after="360"/>
        <w:ind w:left="1282" w:hanging="1282"/>
        <w:rPr>
          <w:rFonts w:cs="Arial"/>
        </w:rPr>
      </w:pPr>
      <w:r w:rsidRPr="00D90EB8">
        <w:rPr>
          <w:rFonts w:cs="Arial"/>
        </w:rPr>
        <w:tab/>
      </w:r>
      <w:r w:rsidR="0072096A" w:rsidRPr="00D90EB8">
        <w:rPr>
          <w:rFonts w:cs="Arial"/>
        </w:rPr>
        <w:t>Journal Voir et l’AJIQ ont négocié un contrat-typ</w:t>
      </w:r>
      <w:r w:rsidR="0087418A" w:rsidRPr="00D90EB8">
        <w:rPr>
          <w:rFonts w:cs="Arial"/>
        </w:rPr>
        <w:t>e, en annexe</w:t>
      </w:r>
      <w:r w:rsidR="00D90EB8">
        <w:rPr>
          <w:rFonts w:cs="Arial"/>
        </w:rPr>
        <w:t> </w:t>
      </w:r>
      <w:r w:rsidR="0087418A" w:rsidRPr="00D90EB8">
        <w:rPr>
          <w:rFonts w:cs="Arial"/>
        </w:rPr>
        <w:t>1 de leur entente de règlement</w:t>
      </w:r>
      <w:r w:rsidR="0072096A" w:rsidRPr="00D90EB8">
        <w:rPr>
          <w:rFonts w:cs="Arial"/>
        </w:rPr>
        <w:t xml:space="preserve">. Journal Voir s’engage à utiliser ce contrat-type, qui ne pourra être modifié qu’après discussion avec l’AJIQ, dans </w:t>
      </w:r>
      <w:r w:rsidR="00E17EB7" w:rsidRPr="00D90EB8">
        <w:rPr>
          <w:rFonts w:cs="Arial"/>
        </w:rPr>
        <w:t xml:space="preserve">toutes </w:t>
      </w:r>
      <w:r w:rsidR="0072096A" w:rsidRPr="00D90EB8">
        <w:rPr>
          <w:rFonts w:cs="Arial"/>
        </w:rPr>
        <w:t xml:space="preserve">ses relations avec les pigistes. </w:t>
      </w:r>
    </w:p>
    <w:p w:rsidR="00655B77" w:rsidRPr="00D90EB8" w:rsidRDefault="00AE5BA2" w:rsidP="00D90EB8">
      <w:pPr>
        <w:keepNext/>
        <w:numPr>
          <w:ilvl w:val="0"/>
          <w:numId w:val="1"/>
        </w:numPr>
        <w:tabs>
          <w:tab w:val="clear" w:pos="4680"/>
        </w:tabs>
        <w:spacing w:after="240"/>
        <w:ind w:hanging="720"/>
        <w:rPr>
          <w:rFonts w:cs="Arial"/>
          <w:b/>
        </w:rPr>
      </w:pPr>
      <w:r w:rsidRPr="00D90EB8">
        <w:rPr>
          <w:rFonts w:cs="Arial"/>
          <w:b/>
        </w:rPr>
        <w:t xml:space="preserve">INVITATION AUX MEMBRES DU GROUPE À COLLABORER DE NOUVEAUX AVEC </w:t>
      </w:r>
      <w:r w:rsidR="00D90EB8">
        <w:rPr>
          <w:rFonts w:cs="Arial"/>
          <w:b/>
        </w:rPr>
        <w:t>J</w:t>
      </w:r>
      <w:r w:rsidRPr="00D90EB8">
        <w:rPr>
          <w:rFonts w:cs="Arial"/>
          <w:b/>
        </w:rPr>
        <w:t>0URNAL VOIR</w:t>
      </w:r>
    </w:p>
    <w:p w:rsidR="00AE5BA2" w:rsidRPr="00D90EB8" w:rsidRDefault="00AE5BA2" w:rsidP="00AD724E">
      <w:pPr>
        <w:tabs>
          <w:tab w:val="clear" w:pos="4680"/>
          <w:tab w:val="left" w:pos="1260"/>
        </w:tabs>
        <w:spacing w:after="360"/>
        <w:ind w:left="1267"/>
        <w:rPr>
          <w:rFonts w:cs="Arial"/>
          <w:lang w:eastAsia="en-US"/>
        </w:rPr>
      </w:pPr>
      <w:r w:rsidRPr="00D90EB8">
        <w:rPr>
          <w:rFonts w:cs="Arial"/>
        </w:rPr>
        <w:t xml:space="preserve">Les </w:t>
      </w:r>
      <w:r w:rsidR="00C26A3A" w:rsidRPr="00D90EB8">
        <w:rPr>
          <w:rFonts w:cs="Arial"/>
        </w:rPr>
        <w:t>membres du groupe</w:t>
      </w:r>
      <w:r w:rsidRPr="00D90EB8">
        <w:rPr>
          <w:rFonts w:cs="Arial"/>
        </w:rPr>
        <w:t xml:space="preserve"> visés par l’entente</w:t>
      </w:r>
      <w:r w:rsidR="00C26A3A" w:rsidRPr="00D90EB8">
        <w:rPr>
          <w:rFonts w:cs="Arial"/>
        </w:rPr>
        <w:t xml:space="preserve"> peuvent soumettre des textes</w:t>
      </w:r>
      <w:r w:rsidRPr="00D90EB8">
        <w:rPr>
          <w:rFonts w:cs="Arial"/>
        </w:rPr>
        <w:t xml:space="preserve"> </w:t>
      </w:r>
      <w:r w:rsidR="00C26A3A" w:rsidRPr="00D90EB8">
        <w:rPr>
          <w:rFonts w:cs="Arial"/>
        </w:rPr>
        <w:t>à Journal Voir. Ils seront traités</w:t>
      </w:r>
      <w:r w:rsidRPr="00D90EB8">
        <w:rPr>
          <w:rFonts w:cs="Arial"/>
        </w:rPr>
        <w:t xml:space="preserve"> comme tous les autres</w:t>
      </w:r>
      <w:r w:rsidR="00C26A3A" w:rsidRPr="00D90EB8">
        <w:rPr>
          <w:rFonts w:cs="Arial"/>
        </w:rPr>
        <w:t xml:space="preserve"> journalistes pigistes</w:t>
      </w:r>
      <w:r w:rsidRPr="00D90EB8">
        <w:rPr>
          <w:rFonts w:cs="Arial"/>
        </w:rPr>
        <w:t xml:space="preserve"> qui soumettent des textes.</w:t>
      </w:r>
    </w:p>
    <w:p w:rsidR="008216A7" w:rsidRPr="00D90EB8" w:rsidRDefault="008216A7" w:rsidP="00AD724E">
      <w:pPr>
        <w:keepNext/>
        <w:numPr>
          <w:ilvl w:val="0"/>
          <w:numId w:val="1"/>
        </w:numPr>
        <w:tabs>
          <w:tab w:val="clear" w:pos="4680"/>
        </w:tabs>
        <w:spacing w:after="240"/>
        <w:ind w:hanging="720"/>
        <w:jc w:val="left"/>
        <w:rPr>
          <w:rFonts w:cs="Arial"/>
          <w:b/>
        </w:rPr>
      </w:pPr>
      <w:r w:rsidRPr="00D90EB8">
        <w:rPr>
          <w:rFonts w:cs="Arial"/>
          <w:b/>
        </w:rPr>
        <w:lastRenderedPageBreak/>
        <w:t>INDEMNITES, HONORAIRES ET FRAIS</w:t>
      </w:r>
    </w:p>
    <w:p w:rsidR="008216A7" w:rsidRPr="00D90EB8" w:rsidRDefault="008216A7" w:rsidP="00AD724E">
      <w:pPr>
        <w:tabs>
          <w:tab w:val="clear" w:pos="4680"/>
          <w:tab w:val="left" w:pos="1260"/>
        </w:tabs>
        <w:spacing w:after="240"/>
        <w:ind w:left="1267"/>
        <w:rPr>
          <w:rFonts w:cs="Arial"/>
        </w:rPr>
      </w:pPr>
      <w:r w:rsidRPr="00D90EB8">
        <w:rPr>
          <w:rFonts w:cs="Arial"/>
        </w:rPr>
        <w:t>Il a été convenu que chacune des parties garderait à sa charge les frais engagés dans la procédure les ayant opposées, honoraires d’avocats compris. Aucun membre du groupe ne participera aux frais engagés par l’AJIQ.</w:t>
      </w:r>
    </w:p>
    <w:p w:rsidR="007C5A7C" w:rsidRPr="00AD724E" w:rsidRDefault="007C5A7C" w:rsidP="00AD724E">
      <w:pPr>
        <w:tabs>
          <w:tab w:val="clear" w:pos="4680"/>
          <w:tab w:val="left" w:pos="1260"/>
        </w:tabs>
        <w:spacing w:after="240"/>
        <w:rPr>
          <w:rFonts w:cs="Arial"/>
          <w:shd w:val="clear" w:color="auto" w:fill="FFFFFF"/>
        </w:rPr>
      </w:pPr>
      <w:r w:rsidRPr="00D90EB8">
        <w:rPr>
          <w:rFonts w:cs="Arial"/>
        </w:rPr>
        <w:t xml:space="preserve">L’entente de règlement proposée doit, avant que les membres du groupe ne puissent en bénéficier, être approuvée par la Cour supérieure du Québec (la « Cour »).  Le cas-échéant, elle liera tous les membres du groupe visés par le recours collectif.  Pour une information plus complète, veuillez consulter l’Entente </w:t>
      </w:r>
      <w:r w:rsidR="00E17EB7" w:rsidRPr="00D90EB8">
        <w:rPr>
          <w:rFonts w:cs="Arial"/>
        </w:rPr>
        <w:t xml:space="preserve">de règlement </w:t>
      </w:r>
      <w:r w:rsidRPr="00D90EB8">
        <w:rPr>
          <w:rFonts w:cs="Arial"/>
        </w:rPr>
        <w:t xml:space="preserve">sur le site internet </w:t>
      </w:r>
      <w:r w:rsidRPr="00D90EB8">
        <w:rPr>
          <w:rFonts w:cs="Arial"/>
          <w:shd w:val="clear" w:color="auto" w:fill="FFFFFF"/>
        </w:rPr>
        <w:t xml:space="preserve">de l’AJIQ, à l’adresse suivante : </w:t>
      </w:r>
      <w:hyperlink r:id="rId5" w:history="1">
        <w:r w:rsidRPr="00D90EB8">
          <w:rPr>
            <w:rStyle w:val="Lienhypertexte"/>
            <w:rFonts w:cs="Arial"/>
            <w:b/>
            <w:shd w:val="clear" w:color="auto" w:fill="FFFFFF"/>
          </w:rPr>
          <w:t>www.ajiq.qc.ca</w:t>
        </w:r>
      </w:hyperlink>
      <w:r w:rsidRPr="00D90EB8">
        <w:rPr>
          <w:rFonts w:cs="Arial"/>
          <w:b/>
          <w:shd w:val="clear" w:color="auto" w:fill="FFFFFF"/>
        </w:rPr>
        <w:t>.</w:t>
      </w:r>
    </w:p>
    <w:p w:rsidR="007C5A7C" w:rsidRPr="00D90EB8" w:rsidRDefault="007C5A7C" w:rsidP="00AD724E">
      <w:pPr>
        <w:tabs>
          <w:tab w:val="clear" w:pos="4680"/>
          <w:tab w:val="left" w:pos="1260"/>
        </w:tabs>
        <w:spacing w:after="240"/>
        <w:rPr>
          <w:rFonts w:cs="Arial"/>
          <w:shd w:val="clear" w:color="auto" w:fill="FFFFFF"/>
        </w:rPr>
      </w:pPr>
      <w:r w:rsidRPr="00D90EB8">
        <w:rPr>
          <w:rFonts w:cs="Arial"/>
          <w:shd w:val="clear" w:color="auto" w:fill="FFFFFF"/>
        </w:rPr>
        <w:t>Les membres du groupe qui désirent soumettre une réclamation devront le faire à l’intérieur d’un délai de 90</w:t>
      </w:r>
      <w:r w:rsidR="00AD724E">
        <w:rPr>
          <w:rFonts w:cs="Arial"/>
          <w:shd w:val="clear" w:color="auto" w:fill="FFFFFF"/>
        </w:rPr>
        <w:t> </w:t>
      </w:r>
      <w:r w:rsidRPr="00D90EB8">
        <w:rPr>
          <w:rFonts w:cs="Arial"/>
          <w:shd w:val="clear" w:color="auto" w:fill="FFFFFF"/>
        </w:rPr>
        <w:t xml:space="preserve">jours de la publication du présent Avis en complétant un formulaire de réclamation disponible sur le site internet </w:t>
      </w:r>
      <w:hyperlink r:id="rId6" w:history="1">
        <w:r w:rsidR="005E4600" w:rsidRPr="00D90EB8">
          <w:rPr>
            <w:rStyle w:val="Lienhypertexte"/>
            <w:rFonts w:cs="Arial"/>
            <w:b/>
            <w:u w:color="000000"/>
            <w:shd w:val="clear" w:color="auto" w:fill="FFFFFF"/>
          </w:rPr>
          <w:t>www.ajiq.qc.ca</w:t>
        </w:r>
      </w:hyperlink>
      <w:r w:rsidRPr="00D90EB8">
        <w:rPr>
          <w:rFonts w:cs="Arial"/>
          <w:shd w:val="clear" w:color="auto" w:fill="FFFFFF"/>
        </w:rPr>
        <w:t xml:space="preserve"> . Le texte intégral de </w:t>
      </w:r>
      <w:r w:rsidRPr="00D90EB8">
        <w:rPr>
          <w:rFonts w:cs="Arial"/>
          <w:i/>
          <w:shd w:val="clear" w:color="auto" w:fill="FFFFFF"/>
        </w:rPr>
        <w:t>l’Entente de règlement</w:t>
      </w:r>
      <w:r w:rsidRPr="00D90EB8">
        <w:rPr>
          <w:rFonts w:cs="Arial"/>
          <w:shd w:val="clear" w:color="auto" w:fill="FFFFFF"/>
        </w:rPr>
        <w:t xml:space="preserve"> ainsi que de la </w:t>
      </w:r>
      <w:r w:rsidR="00E17EB7" w:rsidRPr="00D90EB8">
        <w:rPr>
          <w:rFonts w:cs="Arial"/>
          <w:i/>
          <w:shd w:val="clear" w:color="auto" w:fill="FFFFFF"/>
        </w:rPr>
        <w:t>R</w:t>
      </w:r>
      <w:r w:rsidRPr="00D90EB8">
        <w:rPr>
          <w:rFonts w:cs="Arial"/>
          <w:i/>
          <w:shd w:val="clear" w:color="auto" w:fill="FFFFFF"/>
        </w:rPr>
        <w:t>equête en approbation d’une entente de règlement</w:t>
      </w:r>
      <w:r w:rsidRPr="00D90EB8">
        <w:rPr>
          <w:rFonts w:cs="Arial"/>
          <w:shd w:val="clear" w:color="auto" w:fill="FFFFFF"/>
        </w:rPr>
        <w:t xml:space="preserve"> seront également disponibles sur ce même site internet.</w:t>
      </w:r>
    </w:p>
    <w:p w:rsidR="007C5A7C" w:rsidRPr="00D90EB8" w:rsidRDefault="007C5A7C" w:rsidP="00AD724E">
      <w:pPr>
        <w:tabs>
          <w:tab w:val="clear" w:pos="4680"/>
          <w:tab w:val="left" w:pos="1260"/>
        </w:tabs>
        <w:spacing w:after="240"/>
        <w:rPr>
          <w:rFonts w:cs="Arial"/>
          <w:shd w:val="clear" w:color="auto" w:fill="FFFFFF"/>
        </w:rPr>
      </w:pPr>
      <w:r w:rsidRPr="00D90EB8">
        <w:rPr>
          <w:rFonts w:cs="Arial"/>
          <w:shd w:val="clear" w:color="auto" w:fill="FFFFFF"/>
        </w:rPr>
        <w:t>L’audition de</w:t>
      </w:r>
      <w:r w:rsidR="00E17EB7" w:rsidRPr="00D90EB8">
        <w:rPr>
          <w:rFonts w:cs="Arial"/>
          <w:shd w:val="clear" w:color="auto" w:fill="FFFFFF"/>
        </w:rPr>
        <w:t xml:space="preserve"> la demande d’approbation de l’E</w:t>
      </w:r>
      <w:r w:rsidRPr="00D90EB8">
        <w:rPr>
          <w:rFonts w:cs="Arial"/>
          <w:shd w:val="clear" w:color="auto" w:fill="FFFFFF"/>
        </w:rPr>
        <w:t xml:space="preserve">ntente proposée aura lieu le </w:t>
      </w:r>
      <w:r w:rsidR="00377BD1">
        <w:rPr>
          <w:rFonts w:cs="Arial"/>
          <w:shd w:val="clear" w:color="auto" w:fill="FFFFFF"/>
        </w:rPr>
        <w:t>2 juillet 2019</w:t>
      </w:r>
      <w:r w:rsidR="00C25E0B" w:rsidRPr="00D90EB8">
        <w:rPr>
          <w:rFonts w:cs="Arial"/>
          <w:shd w:val="clear" w:color="auto" w:fill="FFFFFF"/>
        </w:rPr>
        <w:t xml:space="preserve"> à </w:t>
      </w:r>
      <w:r w:rsidR="00377BD1">
        <w:rPr>
          <w:rFonts w:cs="Arial"/>
          <w:shd w:val="clear" w:color="auto" w:fill="FFFFFF"/>
        </w:rPr>
        <w:t>9:30</w:t>
      </w:r>
      <w:r w:rsidR="00C25E0B" w:rsidRPr="00D90EB8">
        <w:rPr>
          <w:rFonts w:cs="Arial"/>
          <w:shd w:val="clear" w:color="auto" w:fill="FFFFFF"/>
        </w:rPr>
        <w:t xml:space="preserve"> heures en salle</w:t>
      </w:r>
      <w:r w:rsidR="00377BD1">
        <w:rPr>
          <w:rFonts w:cs="Arial"/>
          <w:shd w:val="clear" w:color="auto" w:fill="FFFFFF"/>
        </w:rPr>
        <w:t xml:space="preserve"> 17.09</w:t>
      </w:r>
      <w:r w:rsidRPr="00D90EB8">
        <w:rPr>
          <w:rFonts w:cs="Arial"/>
          <w:shd w:val="clear" w:color="auto" w:fill="FFFFFF"/>
        </w:rPr>
        <w:t xml:space="preserve"> devant la Cour supérieure du Québec, au Palais de justice de Montréal, sis au 1, rue Notre-Dame Ouest, Montréal, Québec.</w:t>
      </w:r>
    </w:p>
    <w:p w:rsidR="007C5A7C" w:rsidRPr="00D90EB8" w:rsidRDefault="007C5A7C" w:rsidP="00AD724E">
      <w:pPr>
        <w:tabs>
          <w:tab w:val="clear" w:pos="4680"/>
          <w:tab w:val="left" w:pos="1260"/>
        </w:tabs>
        <w:spacing w:after="240"/>
        <w:rPr>
          <w:rFonts w:cs="Arial"/>
          <w:shd w:val="clear" w:color="auto" w:fill="FFFFFF"/>
        </w:rPr>
      </w:pPr>
      <w:r w:rsidRPr="00D90EB8">
        <w:rPr>
          <w:rFonts w:cs="Arial"/>
          <w:shd w:val="clear" w:color="auto" w:fill="FFFFFF"/>
        </w:rPr>
        <w:t>En cas d’incompatibilité entre les dispositions de cet Avis et celles de l’Entente de règlement, les modalités de l’Entente de règlement auront préséance.</w:t>
      </w:r>
    </w:p>
    <w:p w:rsidR="007C5A7C" w:rsidRPr="00D90EB8" w:rsidRDefault="007C5A7C" w:rsidP="00AD724E">
      <w:pPr>
        <w:tabs>
          <w:tab w:val="clear" w:pos="4680"/>
          <w:tab w:val="left" w:pos="1260"/>
        </w:tabs>
        <w:spacing w:after="240"/>
        <w:rPr>
          <w:rFonts w:cs="Arial"/>
          <w:shd w:val="clear" w:color="auto" w:fill="FFFFFF"/>
        </w:rPr>
      </w:pPr>
      <w:r w:rsidRPr="00D90EB8">
        <w:rPr>
          <w:rFonts w:cs="Arial"/>
          <w:shd w:val="clear" w:color="auto" w:fill="FFFFFF"/>
        </w:rPr>
        <w:t>Pour toute information additionnelle</w:t>
      </w:r>
      <w:r w:rsidR="00C25E0B" w:rsidRPr="00D90EB8">
        <w:rPr>
          <w:rFonts w:cs="Arial"/>
          <w:shd w:val="clear" w:color="auto" w:fill="FFFFFF"/>
        </w:rPr>
        <w:t>, veuillez communiquer avec l’avocat</w:t>
      </w:r>
      <w:r w:rsidRPr="00D90EB8">
        <w:rPr>
          <w:rFonts w:cs="Arial"/>
          <w:shd w:val="clear" w:color="auto" w:fill="FFFFFF"/>
        </w:rPr>
        <w:t xml:space="preserve"> agissant pour les membres du groupe :</w:t>
      </w:r>
    </w:p>
    <w:p w:rsidR="007C5A7C" w:rsidRPr="00D90EB8" w:rsidRDefault="00F876C0" w:rsidP="007C5A7C">
      <w:pPr>
        <w:rPr>
          <w:rFonts w:cs="Arial"/>
        </w:rPr>
      </w:pPr>
      <w:r w:rsidRPr="00D90EB8">
        <w:rPr>
          <w:rFonts w:cs="Arial"/>
        </w:rPr>
        <w:t>Me Normand Tamaro</w:t>
      </w:r>
    </w:p>
    <w:p w:rsidR="007C5A7C" w:rsidRPr="00D90EB8" w:rsidRDefault="00F876C0" w:rsidP="007C5A7C">
      <w:pPr>
        <w:tabs>
          <w:tab w:val="clear" w:pos="4680"/>
        </w:tabs>
        <w:jc w:val="left"/>
        <w:rPr>
          <w:rFonts w:cs="Arial"/>
          <w:color w:val="1F1F1F"/>
          <w:lang w:val="fr-FR" w:eastAsia="fr-CA"/>
        </w:rPr>
      </w:pPr>
      <w:r w:rsidRPr="00D90EB8">
        <w:rPr>
          <w:rFonts w:cs="Arial"/>
        </w:rPr>
        <w:t>MANNELLA, GAUTHIER, TAMARO</w:t>
      </w:r>
    </w:p>
    <w:p w:rsidR="00F876C0" w:rsidRPr="00D90EB8" w:rsidRDefault="00F876C0" w:rsidP="00F876C0">
      <w:pPr>
        <w:tabs>
          <w:tab w:val="clear" w:pos="4680"/>
        </w:tabs>
        <w:jc w:val="left"/>
        <w:rPr>
          <w:rFonts w:cs="Arial"/>
          <w:color w:val="1F1F1F"/>
          <w:lang w:val="fr-FR" w:eastAsia="fr-CA"/>
        </w:rPr>
      </w:pPr>
      <w:r w:rsidRPr="00D90EB8">
        <w:rPr>
          <w:rFonts w:cs="Arial"/>
          <w:color w:val="1F1F1F"/>
          <w:lang w:val="fr-FR" w:eastAsia="fr-CA"/>
        </w:rPr>
        <w:t xml:space="preserve">3055 boulevard de l'Assomption </w:t>
      </w:r>
    </w:p>
    <w:p w:rsidR="00F876C0" w:rsidRPr="00D90EB8" w:rsidRDefault="00F876C0" w:rsidP="00F876C0">
      <w:pPr>
        <w:tabs>
          <w:tab w:val="clear" w:pos="4680"/>
        </w:tabs>
        <w:jc w:val="left"/>
        <w:rPr>
          <w:rFonts w:cs="Arial"/>
          <w:color w:val="1F1F1F"/>
          <w:lang w:val="fr-FR" w:eastAsia="fr-CA"/>
        </w:rPr>
      </w:pPr>
      <w:r w:rsidRPr="00D90EB8">
        <w:rPr>
          <w:rFonts w:cs="Arial"/>
          <w:color w:val="1F1F1F"/>
          <w:lang w:val="fr-FR" w:eastAsia="fr-CA"/>
        </w:rPr>
        <w:t xml:space="preserve">Montréal (Québec)  H1N 2H1 </w:t>
      </w:r>
    </w:p>
    <w:p w:rsidR="00F876C0" w:rsidRPr="00D90EB8" w:rsidRDefault="00F876C0" w:rsidP="00F876C0">
      <w:pPr>
        <w:tabs>
          <w:tab w:val="clear" w:pos="4680"/>
        </w:tabs>
        <w:jc w:val="left"/>
        <w:rPr>
          <w:rFonts w:cs="Arial"/>
          <w:color w:val="1F1F1F"/>
          <w:lang w:eastAsia="fr-CA"/>
        </w:rPr>
      </w:pPr>
      <w:r w:rsidRPr="00D90EB8">
        <w:rPr>
          <w:rFonts w:cs="Arial"/>
          <w:bCs/>
          <w:color w:val="1F1F1F"/>
          <w:lang w:eastAsia="fr-CA"/>
        </w:rPr>
        <w:t>Téléphone :</w:t>
      </w:r>
      <w:r w:rsidRPr="00D90EB8">
        <w:rPr>
          <w:rFonts w:cs="Arial"/>
          <w:color w:val="1F1F1F"/>
          <w:lang w:eastAsia="fr-CA"/>
        </w:rPr>
        <w:t xml:space="preserve"> (514) 899-5375 poste 228</w:t>
      </w:r>
    </w:p>
    <w:p w:rsidR="00F876C0" w:rsidRPr="00D90EB8" w:rsidRDefault="00F876C0" w:rsidP="00AD724E">
      <w:pPr>
        <w:tabs>
          <w:tab w:val="clear" w:pos="4680"/>
        </w:tabs>
        <w:spacing w:after="240"/>
        <w:jc w:val="left"/>
        <w:rPr>
          <w:rFonts w:cs="Arial"/>
          <w:color w:val="1F1F1F"/>
          <w:lang w:val="fr-FR" w:eastAsia="fr-CA"/>
        </w:rPr>
      </w:pPr>
      <w:r w:rsidRPr="00D90EB8">
        <w:rPr>
          <w:rFonts w:cs="Arial"/>
          <w:bCs/>
          <w:color w:val="1F1F1F"/>
          <w:lang w:eastAsia="fr-CA"/>
        </w:rPr>
        <w:t>Télécopieur :</w:t>
      </w:r>
      <w:r w:rsidRPr="00D90EB8">
        <w:rPr>
          <w:rFonts w:cs="Arial"/>
          <w:color w:val="1F1F1F"/>
          <w:lang w:eastAsia="fr-CA"/>
        </w:rPr>
        <w:t xml:space="preserve"> (514) 899-0476</w:t>
      </w:r>
    </w:p>
    <w:p w:rsidR="007C5A7C" w:rsidRPr="00D90EB8" w:rsidRDefault="007C5A7C" w:rsidP="00AD724E">
      <w:pPr>
        <w:tabs>
          <w:tab w:val="clear" w:pos="4680"/>
          <w:tab w:val="left" w:pos="1260"/>
        </w:tabs>
        <w:spacing w:after="240"/>
        <w:rPr>
          <w:rFonts w:cs="Arial"/>
          <w:shd w:val="clear" w:color="auto" w:fill="FFFFFF"/>
        </w:rPr>
      </w:pPr>
      <w:r w:rsidRPr="00D90EB8">
        <w:rPr>
          <w:rFonts w:cs="Arial"/>
          <w:shd w:val="clear" w:color="auto" w:fill="FFFFFF"/>
        </w:rPr>
        <w:t xml:space="preserve">Il n’y aura aucun autre Avis suite au jugement à être rendu par la Cour au terme de l’audition du </w:t>
      </w:r>
      <w:r w:rsidR="00377BD1">
        <w:rPr>
          <w:rFonts w:cs="Arial"/>
          <w:shd w:val="clear" w:color="auto" w:fill="FFFFFF"/>
        </w:rPr>
        <w:t>2 juillet</w:t>
      </w:r>
      <w:bookmarkStart w:id="0" w:name="_GoBack"/>
      <w:bookmarkEnd w:id="0"/>
      <w:r w:rsidR="00C3385C" w:rsidRPr="00D90EB8">
        <w:rPr>
          <w:rFonts w:cs="Arial"/>
          <w:shd w:val="clear" w:color="auto" w:fill="FFFFFF"/>
        </w:rPr>
        <w:t xml:space="preserve"> 2019</w:t>
      </w:r>
      <w:r w:rsidR="00F876C0" w:rsidRPr="00D90EB8">
        <w:rPr>
          <w:rFonts w:cs="Arial"/>
          <w:shd w:val="clear" w:color="auto" w:fill="FFFFFF"/>
        </w:rPr>
        <w:t>.</w:t>
      </w:r>
    </w:p>
    <w:p w:rsidR="007C5A7C" w:rsidRPr="00D90EB8" w:rsidRDefault="007C5A7C" w:rsidP="007C5A7C">
      <w:pPr>
        <w:tabs>
          <w:tab w:val="clear" w:pos="4680"/>
          <w:tab w:val="left" w:pos="1260"/>
        </w:tabs>
        <w:rPr>
          <w:rFonts w:cs="Arial"/>
          <w:shd w:val="clear" w:color="auto" w:fill="FFFFFF"/>
        </w:rPr>
      </w:pPr>
      <w:r w:rsidRPr="00D90EB8">
        <w:rPr>
          <w:rFonts w:cs="Arial"/>
          <w:shd w:val="clear" w:color="auto" w:fill="FFFFFF"/>
        </w:rPr>
        <w:t xml:space="preserve">La publication de cet Avis a été autorisée par l’honorable </w:t>
      </w:r>
      <w:r w:rsidR="00E17EB7" w:rsidRPr="00D90EB8">
        <w:rPr>
          <w:rFonts w:cs="Arial"/>
          <w:shd w:val="clear" w:color="auto" w:fill="FFFFFF"/>
        </w:rPr>
        <w:t>Claude Dallaire</w:t>
      </w:r>
      <w:r w:rsidRPr="00D90EB8">
        <w:rPr>
          <w:rFonts w:cs="Arial"/>
          <w:shd w:val="clear" w:color="auto" w:fill="FFFFFF"/>
        </w:rPr>
        <w:t xml:space="preserve"> de la Cour supérieure du Québec dans le dossier de la Cour portant le numéro 500-06-000082-996.</w:t>
      </w:r>
    </w:p>
    <w:p w:rsidR="007C5A7C" w:rsidRPr="00D90EB8" w:rsidRDefault="007C5A7C" w:rsidP="007C5A7C">
      <w:pPr>
        <w:tabs>
          <w:tab w:val="clear" w:pos="4680"/>
          <w:tab w:val="left" w:pos="1260"/>
        </w:tabs>
        <w:rPr>
          <w:rFonts w:cs="Arial"/>
          <w:shd w:val="clear" w:color="auto" w:fill="FFFFFF"/>
        </w:rPr>
      </w:pPr>
    </w:p>
    <w:p w:rsidR="007C5A7C" w:rsidRPr="00D90EB8" w:rsidRDefault="007C5A7C" w:rsidP="007C5A7C">
      <w:pPr>
        <w:tabs>
          <w:tab w:val="clear" w:pos="4680"/>
          <w:tab w:val="left" w:pos="1260"/>
        </w:tabs>
        <w:rPr>
          <w:rFonts w:cs="Arial"/>
          <w:shd w:val="clear" w:color="auto" w:fill="FFFFFF"/>
        </w:rPr>
      </w:pPr>
    </w:p>
    <w:p w:rsidR="007C5A7C" w:rsidRPr="00D90EB8" w:rsidRDefault="007C5A7C" w:rsidP="007C5A7C">
      <w:pPr>
        <w:tabs>
          <w:tab w:val="clear" w:pos="4680"/>
          <w:tab w:val="left" w:pos="1260"/>
        </w:tabs>
        <w:rPr>
          <w:rFonts w:cs="Arial"/>
          <w:shd w:val="clear" w:color="auto" w:fill="FFFFFF"/>
        </w:rPr>
      </w:pPr>
    </w:p>
    <w:p w:rsidR="002616FE" w:rsidRPr="00D90EB8" w:rsidRDefault="00377BD1">
      <w:pPr>
        <w:rPr>
          <w:rFonts w:cs="Arial"/>
        </w:rPr>
      </w:pPr>
    </w:p>
    <w:sectPr w:rsidR="002616FE" w:rsidRPr="00D90EB8" w:rsidSect="00022F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7D40"/>
    <w:multiLevelType w:val="hybridMultilevel"/>
    <w:tmpl w:val="A7725C06"/>
    <w:lvl w:ilvl="0" w:tplc="7B10B16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BF4E62"/>
    <w:multiLevelType w:val="hybridMultilevel"/>
    <w:tmpl w:val="26E0BAE6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A5AC9"/>
    <w:multiLevelType w:val="hybridMultilevel"/>
    <w:tmpl w:val="108071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C36F6"/>
    <w:multiLevelType w:val="hybridMultilevel"/>
    <w:tmpl w:val="F434F968"/>
    <w:lvl w:ilvl="0" w:tplc="FC529B50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356" w:hanging="360"/>
      </w:pPr>
    </w:lvl>
    <w:lvl w:ilvl="2" w:tplc="0C0C001B" w:tentative="1">
      <w:start w:val="1"/>
      <w:numFmt w:val="lowerRoman"/>
      <w:lvlText w:val="%3."/>
      <w:lvlJc w:val="right"/>
      <w:pPr>
        <w:ind w:left="3076" w:hanging="180"/>
      </w:pPr>
    </w:lvl>
    <w:lvl w:ilvl="3" w:tplc="0C0C000F" w:tentative="1">
      <w:start w:val="1"/>
      <w:numFmt w:val="decimal"/>
      <w:lvlText w:val="%4."/>
      <w:lvlJc w:val="left"/>
      <w:pPr>
        <w:ind w:left="3796" w:hanging="360"/>
      </w:pPr>
    </w:lvl>
    <w:lvl w:ilvl="4" w:tplc="0C0C0019" w:tentative="1">
      <w:start w:val="1"/>
      <w:numFmt w:val="lowerLetter"/>
      <w:lvlText w:val="%5."/>
      <w:lvlJc w:val="left"/>
      <w:pPr>
        <w:ind w:left="4516" w:hanging="360"/>
      </w:pPr>
    </w:lvl>
    <w:lvl w:ilvl="5" w:tplc="0C0C001B" w:tentative="1">
      <w:start w:val="1"/>
      <w:numFmt w:val="lowerRoman"/>
      <w:lvlText w:val="%6."/>
      <w:lvlJc w:val="right"/>
      <w:pPr>
        <w:ind w:left="5236" w:hanging="180"/>
      </w:pPr>
    </w:lvl>
    <w:lvl w:ilvl="6" w:tplc="0C0C000F" w:tentative="1">
      <w:start w:val="1"/>
      <w:numFmt w:val="decimal"/>
      <w:lvlText w:val="%7."/>
      <w:lvlJc w:val="left"/>
      <w:pPr>
        <w:ind w:left="5956" w:hanging="360"/>
      </w:pPr>
    </w:lvl>
    <w:lvl w:ilvl="7" w:tplc="0C0C0019" w:tentative="1">
      <w:start w:val="1"/>
      <w:numFmt w:val="lowerLetter"/>
      <w:lvlText w:val="%8."/>
      <w:lvlJc w:val="left"/>
      <w:pPr>
        <w:ind w:left="6676" w:hanging="360"/>
      </w:pPr>
    </w:lvl>
    <w:lvl w:ilvl="8" w:tplc="0C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9FE4CFA"/>
    <w:multiLevelType w:val="hybridMultilevel"/>
    <w:tmpl w:val="9CEEC376"/>
    <w:lvl w:ilvl="0" w:tplc="593E09A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sz w:val="20"/>
      </w:rPr>
    </w:lvl>
    <w:lvl w:ilvl="1" w:tplc="0C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57D01EF2"/>
    <w:multiLevelType w:val="hybridMultilevel"/>
    <w:tmpl w:val="7226AC2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2167DE"/>
    <w:multiLevelType w:val="hybridMultilevel"/>
    <w:tmpl w:val="167033C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862EB4"/>
    <w:multiLevelType w:val="hybridMultilevel"/>
    <w:tmpl w:val="155A78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95E2F"/>
    <w:multiLevelType w:val="hybridMultilevel"/>
    <w:tmpl w:val="988EEFF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66548"/>
    <w:multiLevelType w:val="hybridMultilevel"/>
    <w:tmpl w:val="9A0EA2D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19"/>
    <w:rsid w:val="00005177"/>
    <w:rsid w:val="00022F1F"/>
    <w:rsid w:val="00043496"/>
    <w:rsid w:val="001329A8"/>
    <w:rsid w:val="001732E7"/>
    <w:rsid w:val="001C0682"/>
    <w:rsid w:val="001C3954"/>
    <w:rsid w:val="00240D3C"/>
    <w:rsid w:val="003302FA"/>
    <w:rsid w:val="00374532"/>
    <w:rsid w:val="00377BD1"/>
    <w:rsid w:val="003A32EC"/>
    <w:rsid w:val="003C6A53"/>
    <w:rsid w:val="00406E40"/>
    <w:rsid w:val="00413A4F"/>
    <w:rsid w:val="004359B3"/>
    <w:rsid w:val="00480BA1"/>
    <w:rsid w:val="00494637"/>
    <w:rsid w:val="005115AA"/>
    <w:rsid w:val="0058026D"/>
    <w:rsid w:val="005A0B67"/>
    <w:rsid w:val="005B2B5D"/>
    <w:rsid w:val="005E4600"/>
    <w:rsid w:val="00603DE4"/>
    <w:rsid w:val="0062003F"/>
    <w:rsid w:val="006435D6"/>
    <w:rsid w:val="00655B77"/>
    <w:rsid w:val="006A0179"/>
    <w:rsid w:val="007200E9"/>
    <w:rsid w:val="0072096A"/>
    <w:rsid w:val="007C2FCC"/>
    <w:rsid w:val="007C5A7C"/>
    <w:rsid w:val="008216A7"/>
    <w:rsid w:val="00823324"/>
    <w:rsid w:val="0087418A"/>
    <w:rsid w:val="00896DDC"/>
    <w:rsid w:val="008D0906"/>
    <w:rsid w:val="008D3547"/>
    <w:rsid w:val="00AC7745"/>
    <w:rsid w:val="00AD724E"/>
    <w:rsid w:val="00AE3AF2"/>
    <w:rsid w:val="00AE5BA2"/>
    <w:rsid w:val="00BE3230"/>
    <w:rsid w:val="00C25E0B"/>
    <w:rsid w:val="00C26A3A"/>
    <w:rsid w:val="00C3385C"/>
    <w:rsid w:val="00C84720"/>
    <w:rsid w:val="00D179BE"/>
    <w:rsid w:val="00D90EB8"/>
    <w:rsid w:val="00DA0768"/>
    <w:rsid w:val="00DD5AC2"/>
    <w:rsid w:val="00DF323B"/>
    <w:rsid w:val="00E17EB7"/>
    <w:rsid w:val="00EA1728"/>
    <w:rsid w:val="00F01119"/>
    <w:rsid w:val="00F8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D79C"/>
  <w15:docId w15:val="{4CF03864-DEFB-4E7A-8785-878C5B15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A7C"/>
    <w:pPr>
      <w:tabs>
        <w:tab w:val="center" w:pos="468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ocdure">
    <w:name w:val="Titre Procédure"/>
    <w:basedOn w:val="Normal"/>
    <w:uiPriority w:val="99"/>
    <w:rsid w:val="007C5A7C"/>
    <w:pPr>
      <w:jc w:val="center"/>
    </w:pPr>
    <w:rPr>
      <w:b/>
      <w:bCs/>
      <w:caps/>
    </w:rPr>
  </w:style>
  <w:style w:type="character" w:styleId="Lienhypertexte">
    <w:name w:val="Hyperlink"/>
    <w:basedOn w:val="Policepardfaut"/>
    <w:uiPriority w:val="99"/>
    <w:rsid w:val="007C5A7C"/>
    <w:rPr>
      <w:rFonts w:cs="Times New Roman"/>
      <w:color w:val="790131"/>
      <w:u w:val="single"/>
    </w:rPr>
  </w:style>
  <w:style w:type="paragraph" w:styleId="Paragraphedeliste">
    <w:name w:val="List Paragraph"/>
    <w:basedOn w:val="Normal"/>
    <w:uiPriority w:val="34"/>
    <w:qFormat/>
    <w:rsid w:val="007C5A7C"/>
    <w:pPr>
      <w:tabs>
        <w:tab w:val="clear" w:pos="4680"/>
      </w:tabs>
      <w:suppressAutoHyphens/>
      <w:autoSpaceDN w:val="0"/>
      <w:ind w:left="708"/>
      <w:textAlignment w:val="baseline"/>
    </w:pPr>
    <w:rPr>
      <w:rFonts w:ascii="Trebuchet MS" w:hAnsi="Trebuchet MS"/>
      <w:sz w:val="22"/>
      <w:szCs w:val="20"/>
    </w:rPr>
  </w:style>
  <w:style w:type="table" w:styleId="Grilledutableau">
    <w:name w:val="Table Grid"/>
    <w:basedOn w:val="TableauNormal"/>
    <w:uiPriority w:val="59"/>
    <w:rsid w:val="0033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jiq.qc.ca" TargetMode="External"/><Relationship Id="rId5" Type="http://schemas.openxmlformats.org/officeDocument/2006/relationships/hyperlink" Target="http://www.ajiq.q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Valiquette</dc:creator>
  <cp:lastModifiedBy>Normand Tamaro</cp:lastModifiedBy>
  <cp:revision>2</cp:revision>
  <dcterms:created xsi:type="dcterms:W3CDTF">2019-03-26T20:37:00Z</dcterms:created>
  <dcterms:modified xsi:type="dcterms:W3CDTF">2019-03-26T20:37:00Z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ContextId">
    <vt:lpwstr>aadd3e73-144c-4cb3-872a-659d8cef1be3</vt:lpwstr>
  </property>
</Properties>
</file>